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67312" w14:textId="62037CF4" w:rsidR="0082556E" w:rsidRDefault="00811EDF" w:rsidP="00811EDF">
      <w:pPr>
        <w:jc w:val="center"/>
      </w:pPr>
      <w:r>
        <w:rPr>
          <w:noProof/>
        </w:rPr>
        <w:drawing>
          <wp:inline distT="0" distB="0" distL="0" distR="0" wp14:anchorId="633FFE3C" wp14:editId="55E58A9D">
            <wp:extent cx="733425" cy="397664"/>
            <wp:effectExtent l="0" t="0" r="0" b="254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S - gif.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0866" cy="407121"/>
                    </a:xfrm>
                    <a:prstGeom prst="rect">
                      <a:avLst/>
                    </a:prstGeom>
                  </pic:spPr>
                </pic:pic>
              </a:graphicData>
            </a:graphic>
          </wp:inline>
        </w:drawing>
      </w:r>
    </w:p>
    <w:p w14:paraId="3ADD8744" w14:textId="1A3E1703" w:rsidR="00811EDF" w:rsidRDefault="00811EDF" w:rsidP="00811EDF">
      <w:pPr>
        <w:contextualSpacing/>
        <w:rPr>
          <w:rFonts w:ascii="Franklin Gothic Heavy" w:hAnsi="Franklin Gothic Heavy"/>
          <w:color w:val="2F5496" w:themeColor="accent1" w:themeShade="BF"/>
          <w:sz w:val="32"/>
        </w:rPr>
      </w:pPr>
      <w:r w:rsidRPr="0018543A">
        <w:rPr>
          <w:rFonts w:ascii="Franklin Gothic Heavy" w:hAnsi="Franklin Gothic Heavy"/>
          <w:color w:val="2F5496" w:themeColor="accent1" w:themeShade="BF"/>
          <w:sz w:val="32"/>
        </w:rPr>
        <w:t>Satisfactory Academic Progress (SAP)</w:t>
      </w:r>
    </w:p>
    <w:p w14:paraId="5B059E1D" w14:textId="476F6156" w:rsidR="00856690" w:rsidRPr="001F6A17" w:rsidRDefault="00856690" w:rsidP="00811EDF">
      <w:pPr>
        <w:contextualSpacing/>
        <w:rPr>
          <w:rFonts w:ascii="Franklin Gothic Heavy" w:hAnsi="Franklin Gothic Heavy"/>
          <w:color w:val="2F5496" w:themeColor="accent1" w:themeShade="BF"/>
          <w:sz w:val="32"/>
          <w:u w:val="single"/>
        </w:rPr>
      </w:pPr>
      <w:r w:rsidRPr="001F6A17">
        <w:rPr>
          <w:rFonts w:ascii="Franklin Gothic Heavy" w:hAnsi="Franklin Gothic Heavy"/>
          <w:color w:val="2F5496" w:themeColor="accent1" w:themeShade="BF"/>
          <w:sz w:val="32"/>
          <w:u w:val="single"/>
        </w:rPr>
        <w:t>Non-Modular</w:t>
      </w:r>
    </w:p>
    <w:p w14:paraId="02B77F07" w14:textId="744C228B" w:rsidR="00811EDF" w:rsidRPr="0018543A" w:rsidRDefault="00811EDF" w:rsidP="00811EDF">
      <w:pPr>
        <w:contextualSpacing/>
        <w:rPr>
          <w:rFonts w:ascii="Franklin Gothic Heavy" w:hAnsi="Franklin Gothic Heavy"/>
          <w:color w:val="2F5496" w:themeColor="accent1" w:themeShade="BF"/>
          <w:sz w:val="32"/>
        </w:rPr>
      </w:pPr>
      <w:r w:rsidRPr="0018543A">
        <w:rPr>
          <w:rFonts w:ascii="Franklin Gothic Heavy" w:hAnsi="Franklin Gothic Heavy"/>
          <w:color w:val="2F5496" w:themeColor="accent1" w:themeShade="BF"/>
          <w:sz w:val="32"/>
        </w:rPr>
        <w:t>Standards for Clock Hour Programs –</w:t>
      </w:r>
    </w:p>
    <w:p w14:paraId="7030D201" w14:textId="77777777" w:rsidR="00FC4A29" w:rsidRDefault="00FC4A29" w:rsidP="00811EDF">
      <w:pPr>
        <w:contextualSpacing/>
        <w:rPr>
          <w:rFonts w:ascii="Franklin Gothic Heavy" w:hAnsi="Franklin Gothic Heavy"/>
          <w:i/>
          <w:iCs/>
          <w:color w:val="2F5496" w:themeColor="accent1" w:themeShade="BF"/>
          <w:sz w:val="32"/>
        </w:rPr>
      </w:pPr>
    </w:p>
    <w:p w14:paraId="185EAA44" w14:textId="1B6E59C8" w:rsidR="0018543A" w:rsidRPr="001F6A17" w:rsidRDefault="00B00690" w:rsidP="00811EDF">
      <w:pPr>
        <w:contextualSpacing/>
        <w:rPr>
          <w:rFonts w:ascii="Franklin Gothic Heavy" w:hAnsi="Franklin Gothic Heavy"/>
          <w:b/>
          <w:bCs/>
          <w:i/>
          <w:iCs/>
          <w:color w:val="2F5496" w:themeColor="accent1" w:themeShade="BF"/>
          <w:sz w:val="32"/>
        </w:rPr>
      </w:pPr>
      <w:r w:rsidRPr="001F6A17">
        <w:rPr>
          <w:rFonts w:ascii="Franklin Gothic Heavy" w:hAnsi="Franklin Gothic Heavy"/>
          <w:b/>
          <w:bCs/>
          <w:i/>
          <w:iCs/>
          <w:color w:val="2F5496" w:themeColor="accent1" w:themeShade="BF"/>
          <w:sz w:val="32"/>
        </w:rPr>
        <w:t>Court Reporting</w:t>
      </w:r>
    </w:p>
    <w:p w14:paraId="137C7EA0" w14:textId="2A128D4E" w:rsidR="0018543A" w:rsidRPr="0018543A" w:rsidRDefault="0018543A" w:rsidP="00811EDF">
      <w:pPr>
        <w:contextualSpacing/>
        <w:rPr>
          <w:rFonts w:ascii="Franklin Gothic Heavy" w:hAnsi="Franklin Gothic Heavy"/>
          <w:b/>
          <w:bCs/>
          <w:i/>
          <w:iCs/>
          <w:color w:val="2F5496" w:themeColor="accent1" w:themeShade="BF"/>
          <w:sz w:val="32"/>
        </w:rPr>
      </w:pPr>
    </w:p>
    <w:p w14:paraId="24C3A043" w14:textId="5AD09067" w:rsidR="0018543A" w:rsidRPr="00FC4A29" w:rsidRDefault="0018543A" w:rsidP="0018543A">
      <w:pPr>
        <w:contextualSpacing/>
        <w:jc w:val="center"/>
        <w:rPr>
          <w:rFonts w:cstheme="minorHAnsi"/>
          <w:b/>
          <w:bCs/>
          <w:color w:val="2F5496" w:themeColor="accent1" w:themeShade="BF"/>
          <w:sz w:val="24"/>
          <w:szCs w:val="24"/>
        </w:rPr>
      </w:pPr>
      <w:r w:rsidRPr="00FC4A29">
        <w:rPr>
          <w:rFonts w:cstheme="minorHAnsi"/>
          <w:b/>
          <w:bCs/>
          <w:color w:val="2F5496" w:themeColor="accent1" w:themeShade="BF"/>
          <w:sz w:val="24"/>
          <w:szCs w:val="24"/>
        </w:rPr>
        <w:t>Effective 2020/2021 Academic Year and supersedes all previous policies.</w:t>
      </w:r>
    </w:p>
    <w:p w14:paraId="0E409A76" w14:textId="5F724894" w:rsidR="0018543A" w:rsidRPr="00FC4A29" w:rsidRDefault="0018543A" w:rsidP="0018543A">
      <w:pPr>
        <w:contextualSpacing/>
        <w:jc w:val="center"/>
        <w:rPr>
          <w:rFonts w:cstheme="minorHAnsi"/>
          <w:b/>
          <w:bCs/>
          <w:color w:val="2F5496" w:themeColor="accent1" w:themeShade="BF"/>
          <w:sz w:val="24"/>
          <w:szCs w:val="24"/>
        </w:rPr>
      </w:pPr>
    </w:p>
    <w:p w14:paraId="2903C291" w14:textId="77777777" w:rsidR="00AE1264" w:rsidRPr="0018543A" w:rsidRDefault="00AE1264" w:rsidP="00AE1264">
      <w:pPr>
        <w:contextualSpacing/>
        <w:rPr>
          <w:rFonts w:cstheme="minorHAnsi"/>
          <w:sz w:val="24"/>
          <w:szCs w:val="24"/>
        </w:rPr>
      </w:pPr>
      <w:r w:rsidRPr="0018543A">
        <w:rPr>
          <w:rFonts w:cstheme="minorHAnsi"/>
          <w:sz w:val="24"/>
          <w:szCs w:val="24"/>
        </w:rPr>
        <w:t>The U.S. Department of Education requires all</w:t>
      </w:r>
      <w:r>
        <w:rPr>
          <w:rFonts w:cstheme="minorHAnsi"/>
          <w:sz w:val="24"/>
          <w:szCs w:val="24"/>
        </w:rPr>
        <w:t xml:space="preserve"> schools</w:t>
      </w:r>
      <w:r w:rsidRPr="0018543A">
        <w:rPr>
          <w:rFonts w:cstheme="minorHAnsi"/>
          <w:sz w:val="24"/>
          <w:szCs w:val="24"/>
        </w:rPr>
        <w:t xml:space="preserve"> to establish and apply standards of </w:t>
      </w:r>
      <w:r>
        <w:rPr>
          <w:rFonts w:cstheme="minorHAnsi"/>
          <w:sz w:val="24"/>
          <w:szCs w:val="24"/>
        </w:rPr>
        <w:t>S</w:t>
      </w:r>
      <w:r w:rsidRPr="0018543A">
        <w:rPr>
          <w:rFonts w:cstheme="minorHAnsi"/>
          <w:sz w:val="24"/>
          <w:szCs w:val="24"/>
        </w:rPr>
        <w:t xml:space="preserve">atisfactory </w:t>
      </w:r>
      <w:r>
        <w:rPr>
          <w:rFonts w:cstheme="minorHAnsi"/>
          <w:sz w:val="24"/>
          <w:szCs w:val="24"/>
        </w:rPr>
        <w:t>A</w:t>
      </w:r>
      <w:r w:rsidRPr="0018543A">
        <w:rPr>
          <w:rFonts w:cstheme="minorHAnsi"/>
          <w:sz w:val="24"/>
          <w:szCs w:val="24"/>
        </w:rPr>
        <w:t xml:space="preserve">cademic </w:t>
      </w:r>
      <w:r>
        <w:rPr>
          <w:rFonts w:cstheme="minorHAnsi"/>
          <w:sz w:val="24"/>
          <w:szCs w:val="24"/>
        </w:rPr>
        <w:t>P</w:t>
      </w:r>
      <w:r w:rsidRPr="0018543A">
        <w:rPr>
          <w:rFonts w:cstheme="minorHAnsi"/>
          <w:sz w:val="24"/>
          <w:szCs w:val="24"/>
        </w:rPr>
        <w:t>rogress</w:t>
      </w:r>
      <w:r>
        <w:rPr>
          <w:rFonts w:cstheme="minorHAnsi"/>
          <w:sz w:val="24"/>
          <w:szCs w:val="24"/>
        </w:rPr>
        <w:t xml:space="preserve"> (SAP)</w:t>
      </w:r>
      <w:r w:rsidRPr="0018543A">
        <w:rPr>
          <w:rFonts w:cstheme="minorHAnsi"/>
          <w:sz w:val="24"/>
          <w:szCs w:val="24"/>
        </w:rPr>
        <w:t xml:space="preserve"> for eligible students to receive financial aid under the programs authorized by Title IV of the Higher Education Act (HEA). As with any area of Title IV, it is critical to understand that students must meet all SAP requirements within the context of all existing federal and institutional regulations. Thus, students must meet all Title IV and institutional requirements and regulations in order to </w:t>
      </w:r>
      <w:r>
        <w:rPr>
          <w:rFonts w:cstheme="minorHAnsi"/>
          <w:sz w:val="24"/>
          <w:szCs w:val="24"/>
        </w:rPr>
        <w:t xml:space="preserve">be eligible to </w:t>
      </w:r>
      <w:r w:rsidRPr="0018543A">
        <w:rPr>
          <w:rFonts w:cstheme="minorHAnsi"/>
          <w:sz w:val="24"/>
          <w:szCs w:val="24"/>
        </w:rPr>
        <w:t>receive federal financial aid.</w:t>
      </w:r>
    </w:p>
    <w:p w14:paraId="104BFE42" w14:textId="77777777" w:rsidR="00AE1264" w:rsidRPr="00FC4A29" w:rsidRDefault="00AE1264" w:rsidP="00AE1264">
      <w:pPr>
        <w:contextualSpacing/>
        <w:rPr>
          <w:rFonts w:cstheme="minorHAnsi"/>
          <w:sz w:val="24"/>
          <w:szCs w:val="24"/>
        </w:rPr>
      </w:pPr>
    </w:p>
    <w:p w14:paraId="4E65EBB0" w14:textId="77777777" w:rsidR="00AE1264" w:rsidRPr="00FC4A29" w:rsidRDefault="00AE1264" w:rsidP="00AE1264">
      <w:pPr>
        <w:contextualSpacing/>
        <w:rPr>
          <w:rFonts w:cstheme="minorHAnsi"/>
          <w:sz w:val="24"/>
          <w:szCs w:val="24"/>
        </w:rPr>
      </w:pPr>
      <w:r w:rsidRPr="0018543A">
        <w:rPr>
          <w:rFonts w:cstheme="minorHAnsi"/>
          <w:sz w:val="24"/>
          <w:szCs w:val="24"/>
        </w:rPr>
        <w:t xml:space="preserve">Satisfactory </w:t>
      </w:r>
      <w:r>
        <w:rPr>
          <w:rFonts w:cstheme="minorHAnsi"/>
          <w:sz w:val="24"/>
          <w:szCs w:val="24"/>
        </w:rPr>
        <w:t>A</w:t>
      </w:r>
      <w:r w:rsidRPr="0018543A">
        <w:rPr>
          <w:rFonts w:cstheme="minorHAnsi"/>
          <w:sz w:val="24"/>
          <w:szCs w:val="24"/>
        </w:rPr>
        <w:t xml:space="preserve">cademic </w:t>
      </w:r>
      <w:r>
        <w:rPr>
          <w:rFonts w:cstheme="minorHAnsi"/>
          <w:sz w:val="24"/>
          <w:szCs w:val="24"/>
        </w:rPr>
        <w:t>P</w:t>
      </w:r>
      <w:r w:rsidRPr="0018543A">
        <w:rPr>
          <w:rFonts w:cstheme="minorHAnsi"/>
          <w:sz w:val="24"/>
          <w:szCs w:val="24"/>
        </w:rPr>
        <w:t xml:space="preserve">rogress (SAP) is determined at the end of every payment period by the Financial Aid Office. Students are required to make </w:t>
      </w:r>
      <w:r>
        <w:rPr>
          <w:rFonts w:cstheme="minorHAnsi"/>
          <w:sz w:val="24"/>
          <w:szCs w:val="24"/>
        </w:rPr>
        <w:t>S</w:t>
      </w:r>
      <w:r w:rsidRPr="0018543A">
        <w:rPr>
          <w:rFonts w:cstheme="minorHAnsi"/>
          <w:sz w:val="24"/>
          <w:szCs w:val="24"/>
        </w:rPr>
        <w:t xml:space="preserve">atisfactory </w:t>
      </w:r>
      <w:r>
        <w:rPr>
          <w:rFonts w:cstheme="minorHAnsi"/>
          <w:sz w:val="24"/>
          <w:szCs w:val="24"/>
        </w:rPr>
        <w:t>A</w:t>
      </w:r>
      <w:r w:rsidRPr="0018543A">
        <w:rPr>
          <w:rFonts w:cstheme="minorHAnsi"/>
          <w:sz w:val="24"/>
          <w:szCs w:val="24"/>
        </w:rPr>
        <w:t xml:space="preserve">cademic </w:t>
      </w:r>
      <w:r>
        <w:rPr>
          <w:rFonts w:cstheme="minorHAnsi"/>
          <w:sz w:val="24"/>
          <w:szCs w:val="24"/>
        </w:rPr>
        <w:t>P</w:t>
      </w:r>
      <w:r w:rsidRPr="0018543A">
        <w:rPr>
          <w:rFonts w:cstheme="minorHAnsi"/>
          <w:sz w:val="24"/>
          <w:szCs w:val="24"/>
        </w:rPr>
        <w:t>rogress toward the completion of an eligible vocational certificate</w:t>
      </w:r>
      <w:r w:rsidRPr="00FC4A29">
        <w:rPr>
          <w:rFonts w:cstheme="minorHAnsi"/>
          <w:sz w:val="24"/>
          <w:szCs w:val="24"/>
        </w:rPr>
        <w:t>.</w:t>
      </w:r>
    </w:p>
    <w:p w14:paraId="370FA43E" w14:textId="77777777" w:rsidR="00AE1264" w:rsidRPr="0018543A" w:rsidRDefault="00AE1264" w:rsidP="00AE1264">
      <w:pPr>
        <w:contextualSpacing/>
        <w:rPr>
          <w:rFonts w:cstheme="minorHAnsi"/>
          <w:sz w:val="24"/>
          <w:szCs w:val="24"/>
        </w:rPr>
      </w:pPr>
    </w:p>
    <w:p w14:paraId="6E1CA82D" w14:textId="77777777" w:rsidR="00AE1264" w:rsidRPr="00FC4A29" w:rsidRDefault="00AE1264" w:rsidP="00AE1264">
      <w:pPr>
        <w:contextualSpacing/>
        <w:rPr>
          <w:rFonts w:cstheme="minorHAnsi"/>
          <w:sz w:val="24"/>
          <w:szCs w:val="24"/>
        </w:rPr>
      </w:pPr>
      <w:r w:rsidRPr="00FC4A29">
        <w:rPr>
          <w:rFonts w:cstheme="minorHAnsi"/>
          <w:sz w:val="24"/>
          <w:szCs w:val="24"/>
        </w:rPr>
        <w:t>DAS offers the following federal program:  Pell Grant.  This SAP standard covers this federal program.</w:t>
      </w:r>
    </w:p>
    <w:p w14:paraId="5C6CB564" w14:textId="77777777" w:rsidR="00AE1264" w:rsidRPr="00FC4A29" w:rsidRDefault="00AE1264" w:rsidP="00AE1264">
      <w:pPr>
        <w:contextualSpacing/>
        <w:rPr>
          <w:rFonts w:cstheme="minorHAnsi"/>
          <w:sz w:val="24"/>
          <w:szCs w:val="24"/>
        </w:rPr>
      </w:pPr>
    </w:p>
    <w:p w14:paraId="51779EA9" w14:textId="77777777" w:rsidR="00AE1264" w:rsidRPr="00FC4A29" w:rsidRDefault="00AE1264" w:rsidP="00AE1264">
      <w:pPr>
        <w:contextualSpacing/>
        <w:rPr>
          <w:rFonts w:cstheme="minorHAnsi"/>
          <w:sz w:val="24"/>
          <w:szCs w:val="24"/>
        </w:rPr>
      </w:pPr>
      <w:r w:rsidRPr="00FC4A29">
        <w:rPr>
          <w:rFonts w:cstheme="minorHAnsi"/>
          <w:sz w:val="24"/>
          <w:szCs w:val="24"/>
        </w:rPr>
        <w:t xml:space="preserve">The following are the Satisfactory Academic Progress (SAP) Standards, which students must meet to maintain financial aid eligibility in clock hour </w:t>
      </w:r>
      <w:r>
        <w:rPr>
          <w:rFonts w:cstheme="minorHAnsi"/>
          <w:sz w:val="24"/>
          <w:szCs w:val="24"/>
        </w:rPr>
        <w:t>programs</w:t>
      </w:r>
      <w:r w:rsidRPr="00FC4A29">
        <w:rPr>
          <w:rFonts w:cstheme="minorHAnsi"/>
          <w:sz w:val="24"/>
          <w:szCs w:val="24"/>
        </w:rPr>
        <w:t>. Clock hour students will be measured on a payment period basis and use only coursework listed in the specific program of study.</w:t>
      </w:r>
    </w:p>
    <w:p w14:paraId="3A4AA935" w14:textId="77777777" w:rsidR="005243B9" w:rsidRDefault="005243B9" w:rsidP="00FC4A29">
      <w:pPr>
        <w:contextualSpacing/>
        <w:rPr>
          <w:rFonts w:ascii="Franklin Gothic Heavy" w:hAnsi="Franklin Gothic Heavy"/>
          <w:color w:val="2F5496" w:themeColor="accent1" w:themeShade="BF"/>
          <w:sz w:val="32"/>
        </w:rPr>
      </w:pPr>
    </w:p>
    <w:p w14:paraId="5FA8C38D" w14:textId="4549C656" w:rsidR="00FC4A29" w:rsidRDefault="00FC4A29" w:rsidP="00FC4A29">
      <w:pPr>
        <w:contextualSpacing/>
        <w:rPr>
          <w:rFonts w:ascii="Franklin Gothic Heavy" w:hAnsi="Franklin Gothic Heavy"/>
          <w:color w:val="2F5496" w:themeColor="accent1" w:themeShade="BF"/>
          <w:sz w:val="32"/>
        </w:rPr>
      </w:pPr>
      <w:r>
        <w:rPr>
          <w:rFonts w:ascii="Franklin Gothic Heavy" w:hAnsi="Franklin Gothic Heavy"/>
          <w:color w:val="2F5496" w:themeColor="accent1" w:themeShade="BF"/>
          <w:sz w:val="32"/>
        </w:rPr>
        <w:t>SAP Evaluation Items</w:t>
      </w:r>
    </w:p>
    <w:p w14:paraId="7937BCB4" w14:textId="30000BC3" w:rsidR="00FC4A29" w:rsidRPr="00EA7E9C" w:rsidRDefault="00FC4A29" w:rsidP="00FC4A29">
      <w:pPr>
        <w:contextualSpacing/>
        <w:rPr>
          <w:rFonts w:cstheme="minorHAnsi"/>
          <w:b/>
          <w:bCs/>
          <w:sz w:val="24"/>
          <w:szCs w:val="24"/>
        </w:rPr>
      </w:pPr>
      <w:r w:rsidRPr="00EA7E9C">
        <w:rPr>
          <w:rFonts w:cstheme="minorHAnsi"/>
          <w:b/>
          <w:bCs/>
          <w:sz w:val="24"/>
          <w:szCs w:val="24"/>
        </w:rPr>
        <w:t>C</w:t>
      </w:r>
      <w:r w:rsidR="00EA7E9C" w:rsidRPr="00EA7E9C">
        <w:rPr>
          <w:rFonts w:cstheme="minorHAnsi"/>
          <w:b/>
          <w:bCs/>
          <w:sz w:val="24"/>
          <w:szCs w:val="24"/>
        </w:rPr>
        <w:t>umulative Grade Point Average (Qualitative Measure)</w:t>
      </w:r>
    </w:p>
    <w:p w14:paraId="48624D9C" w14:textId="52BE7682" w:rsidR="00EA7E9C" w:rsidRPr="00EA7E9C" w:rsidRDefault="00EA7E9C" w:rsidP="00EA7E9C">
      <w:pPr>
        <w:contextualSpacing/>
        <w:rPr>
          <w:rFonts w:cstheme="minorHAnsi"/>
          <w:sz w:val="24"/>
          <w:szCs w:val="24"/>
        </w:rPr>
      </w:pPr>
      <w:r w:rsidRPr="00EA7E9C">
        <w:rPr>
          <w:rFonts w:cstheme="minorHAnsi"/>
          <w:sz w:val="24"/>
          <w:szCs w:val="24"/>
        </w:rPr>
        <w:t xml:space="preserve">A student demonstrates progression through </w:t>
      </w:r>
      <w:r w:rsidR="004354F8">
        <w:rPr>
          <w:rFonts w:cstheme="minorHAnsi"/>
          <w:sz w:val="24"/>
          <w:szCs w:val="24"/>
        </w:rPr>
        <w:t>the Court Reporting</w:t>
      </w:r>
      <w:r w:rsidRPr="00EA7E9C">
        <w:rPr>
          <w:rFonts w:cstheme="minorHAnsi"/>
          <w:sz w:val="24"/>
          <w:szCs w:val="24"/>
        </w:rPr>
        <w:t xml:space="preserve"> program with </w:t>
      </w:r>
      <w:r w:rsidR="00835018">
        <w:rPr>
          <w:rFonts w:cstheme="minorHAnsi"/>
          <w:sz w:val="24"/>
          <w:szCs w:val="24"/>
        </w:rPr>
        <w:t>pass/fail grades</w:t>
      </w:r>
      <w:r w:rsidRPr="00EA7E9C">
        <w:rPr>
          <w:rFonts w:cstheme="minorHAnsi"/>
          <w:sz w:val="24"/>
          <w:szCs w:val="24"/>
        </w:rPr>
        <w:t>.</w:t>
      </w:r>
    </w:p>
    <w:p w14:paraId="1773EF95" w14:textId="77777777" w:rsidR="009A6AF0" w:rsidRDefault="009A6AF0" w:rsidP="00EA7E9C">
      <w:pPr>
        <w:contextualSpacing/>
        <w:rPr>
          <w:rFonts w:cstheme="minorHAnsi"/>
          <w:sz w:val="24"/>
          <w:szCs w:val="24"/>
        </w:rPr>
      </w:pPr>
    </w:p>
    <w:p w14:paraId="345729F8" w14:textId="034D3617" w:rsidR="00EA7E9C" w:rsidRPr="00EA7E9C" w:rsidRDefault="00EA7E9C" w:rsidP="00EA7E9C">
      <w:pPr>
        <w:contextualSpacing/>
        <w:rPr>
          <w:rFonts w:cstheme="minorHAnsi"/>
          <w:sz w:val="24"/>
          <w:szCs w:val="24"/>
        </w:rPr>
      </w:pPr>
      <w:r w:rsidRPr="00EA7E9C">
        <w:rPr>
          <w:rFonts w:cstheme="minorHAnsi"/>
          <w:sz w:val="24"/>
          <w:szCs w:val="24"/>
        </w:rPr>
        <w:t xml:space="preserve">Student who fails a </w:t>
      </w:r>
      <w:r w:rsidR="00420C09">
        <w:rPr>
          <w:rFonts w:cstheme="minorHAnsi"/>
          <w:sz w:val="24"/>
          <w:szCs w:val="24"/>
        </w:rPr>
        <w:t>class</w:t>
      </w:r>
      <w:r w:rsidRPr="00EA7E9C">
        <w:rPr>
          <w:rFonts w:cstheme="minorHAnsi"/>
          <w:sz w:val="24"/>
          <w:szCs w:val="24"/>
        </w:rPr>
        <w:t xml:space="preserve"> (earns a grade of ‘</w:t>
      </w:r>
      <w:r w:rsidR="009A6AF0">
        <w:rPr>
          <w:rFonts w:cstheme="minorHAnsi"/>
          <w:sz w:val="24"/>
          <w:szCs w:val="24"/>
        </w:rPr>
        <w:t>NC</w:t>
      </w:r>
      <w:r w:rsidRPr="00EA7E9C">
        <w:rPr>
          <w:rFonts w:cstheme="minorHAnsi"/>
          <w:sz w:val="24"/>
          <w:szCs w:val="24"/>
        </w:rPr>
        <w:t>’) in a payment period.</w:t>
      </w:r>
    </w:p>
    <w:p w14:paraId="030A1225" w14:textId="7D454DA8" w:rsidR="00EA7E9C" w:rsidRPr="009A6AF0" w:rsidRDefault="00EA7E9C" w:rsidP="00EA7E9C">
      <w:pPr>
        <w:pStyle w:val="ListParagraph"/>
        <w:numPr>
          <w:ilvl w:val="0"/>
          <w:numId w:val="1"/>
        </w:numPr>
        <w:rPr>
          <w:rFonts w:cstheme="minorHAnsi"/>
          <w:sz w:val="24"/>
          <w:szCs w:val="24"/>
        </w:rPr>
      </w:pPr>
      <w:r w:rsidRPr="009A6AF0">
        <w:rPr>
          <w:rFonts w:cstheme="minorHAnsi"/>
          <w:sz w:val="24"/>
          <w:szCs w:val="24"/>
        </w:rPr>
        <w:t xml:space="preserve">If student earns 1st failing grade in the </w:t>
      </w:r>
      <w:proofErr w:type="gramStart"/>
      <w:r w:rsidRPr="009A6AF0">
        <w:rPr>
          <w:rFonts w:cstheme="minorHAnsi"/>
          <w:sz w:val="24"/>
          <w:szCs w:val="24"/>
        </w:rPr>
        <w:t>program</w:t>
      </w:r>
      <w:proofErr w:type="gramEnd"/>
      <w:r w:rsidRPr="009A6AF0">
        <w:rPr>
          <w:rFonts w:cstheme="minorHAnsi"/>
          <w:sz w:val="24"/>
          <w:szCs w:val="24"/>
        </w:rPr>
        <w:t xml:space="preserve"> he/she will be placed in Warning Status for the</w:t>
      </w:r>
      <w:r w:rsidR="009A6AF0">
        <w:rPr>
          <w:rFonts w:cstheme="minorHAnsi"/>
          <w:sz w:val="24"/>
          <w:szCs w:val="24"/>
        </w:rPr>
        <w:t xml:space="preserve"> </w:t>
      </w:r>
      <w:r w:rsidRPr="009A6AF0">
        <w:rPr>
          <w:rFonts w:cstheme="minorHAnsi"/>
          <w:sz w:val="24"/>
          <w:szCs w:val="24"/>
        </w:rPr>
        <w:t>subsequent payment period.</w:t>
      </w:r>
    </w:p>
    <w:p w14:paraId="3466C792" w14:textId="3E16EC96" w:rsidR="00EA7E9C" w:rsidRPr="009A6AF0" w:rsidRDefault="00EA7E9C" w:rsidP="009A6AF0">
      <w:pPr>
        <w:pStyle w:val="ListParagraph"/>
        <w:numPr>
          <w:ilvl w:val="1"/>
          <w:numId w:val="1"/>
        </w:numPr>
        <w:rPr>
          <w:rFonts w:cstheme="minorHAnsi"/>
          <w:sz w:val="24"/>
          <w:szCs w:val="24"/>
        </w:rPr>
      </w:pPr>
      <w:r w:rsidRPr="009A6AF0">
        <w:rPr>
          <w:rFonts w:cstheme="minorHAnsi"/>
          <w:sz w:val="24"/>
          <w:szCs w:val="24"/>
        </w:rPr>
        <w:t xml:space="preserve">If after the subsequent payment period the student passes the </w:t>
      </w:r>
      <w:r w:rsidR="001A6C0B">
        <w:rPr>
          <w:rFonts w:cstheme="minorHAnsi"/>
          <w:sz w:val="24"/>
          <w:szCs w:val="24"/>
        </w:rPr>
        <w:t>class</w:t>
      </w:r>
      <w:r w:rsidRPr="009A6AF0">
        <w:rPr>
          <w:rFonts w:cstheme="minorHAnsi"/>
          <w:sz w:val="24"/>
          <w:szCs w:val="24"/>
        </w:rPr>
        <w:t xml:space="preserve"> in which he/she failed</w:t>
      </w:r>
      <w:r w:rsidR="00175E55">
        <w:rPr>
          <w:rFonts w:cstheme="minorHAnsi"/>
          <w:sz w:val="24"/>
          <w:szCs w:val="24"/>
        </w:rPr>
        <w:t>, s</w:t>
      </w:r>
      <w:r w:rsidRPr="009A6AF0">
        <w:rPr>
          <w:rFonts w:cstheme="minorHAnsi"/>
          <w:sz w:val="24"/>
          <w:szCs w:val="24"/>
        </w:rPr>
        <w:t>tudent will be placed back into good standing.</w:t>
      </w:r>
    </w:p>
    <w:p w14:paraId="010CF075" w14:textId="32FCA7C5" w:rsidR="00A52175" w:rsidRDefault="00A52175" w:rsidP="00A52175">
      <w:pPr>
        <w:pStyle w:val="ListParagraph"/>
        <w:numPr>
          <w:ilvl w:val="0"/>
          <w:numId w:val="1"/>
        </w:numPr>
        <w:rPr>
          <w:rFonts w:cstheme="minorHAnsi"/>
          <w:sz w:val="24"/>
          <w:szCs w:val="24"/>
        </w:rPr>
      </w:pPr>
      <w:r w:rsidRPr="009A6AF0">
        <w:rPr>
          <w:rFonts w:cstheme="minorHAnsi"/>
          <w:sz w:val="24"/>
          <w:szCs w:val="24"/>
        </w:rPr>
        <w:t xml:space="preserve">If student </w:t>
      </w:r>
      <w:r w:rsidR="00FD6E49">
        <w:rPr>
          <w:rFonts w:cstheme="minorHAnsi"/>
          <w:sz w:val="24"/>
          <w:szCs w:val="24"/>
        </w:rPr>
        <w:t>does not successfully meet SAP</w:t>
      </w:r>
      <w:r w:rsidR="00CE6ADD">
        <w:rPr>
          <w:rFonts w:cstheme="minorHAnsi"/>
          <w:sz w:val="24"/>
          <w:szCs w:val="24"/>
        </w:rPr>
        <w:t xml:space="preserve"> while on Warning status, they will be dismissed from the </w:t>
      </w:r>
      <w:r w:rsidR="00883E4D">
        <w:rPr>
          <w:rFonts w:cstheme="minorHAnsi"/>
          <w:sz w:val="24"/>
          <w:szCs w:val="24"/>
        </w:rPr>
        <w:t>program.</w:t>
      </w:r>
    </w:p>
    <w:p w14:paraId="2EAD5265" w14:textId="63E051C2" w:rsidR="009A6AF0" w:rsidRPr="009A6AF0" w:rsidRDefault="009A6AF0" w:rsidP="009A6AF0">
      <w:pPr>
        <w:rPr>
          <w:rFonts w:cstheme="minorHAnsi"/>
          <w:b/>
          <w:bCs/>
          <w:sz w:val="24"/>
          <w:szCs w:val="24"/>
        </w:rPr>
      </w:pPr>
      <w:r w:rsidRPr="009A6AF0">
        <w:rPr>
          <w:rFonts w:cstheme="minorHAnsi"/>
          <w:b/>
          <w:bCs/>
          <w:sz w:val="24"/>
          <w:szCs w:val="24"/>
        </w:rPr>
        <w:t xml:space="preserve">GRADING SYSTEM – </w:t>
      </w:r>
    </w:p>
    <w:p w14:paraId="5CDBBA84" w14:textId="64E134A4" w:rsidR="009A6AF0" w:rsidRPr="009A6AF0" w:rsidRDefault="009A6AF0" w:rsidP="009A6AF0">
      <w:pPr>
        <w:rPr>
          <w:rFonts w:cstheme="minorHAnsi"/>
          <w:b/>
          <w:bCs/>
          <w:i/>
          <w:iCs/>
          <w:sz w:val="24"/>
          <w:szCs w:val="24"/>
        </w:rPr>
      </w:pPr>
      <w:r w:rsidRPr="009A6AF0">
        <w:rPr>
          <w:rFonts w:cstheme="minorHAnsi"/>
          <w:sz w:val="24"/>
          <w:szCs w:val="24"/>
        </w:rPr>
        <w:t>Downey Adult School uses the following scale as its standard grading system.</w:t>
      </w:r>
    </w:p>
    <w:tbl>
      <w:tblPr>
        <w:tblStyle w:val="TableGrid"/>
        <w:tblW w:w="0" w:type="auto"/>
        <w:tblLook w:val="04A0" w:firstRow="1" w:lastRow="0" w:firstColumn="1" w:lastColumn="0" w:noHBand="0" w:noVBand="1"/>
      </w:tblPr>
      <w:tblGrid>
        <w:gridCol w:w="2817"/>
        <w:gridCol w:w="2817"/>
        <w:gridCol w:w="2818"/>
      </w:tblGrid>
      <w:tr w:rsidR="009A6AF0" w:rsidRPr="00FA1B41" w14:paraId="52967FAB" w14:textId="77777777" w:rsidTr="00CD3C00">
        <w:tc>
          <w:tcPr>
            <w:tcW w:w="2817" w:type="dxa"/>
            <w:shd w:val="clear" w:color="auto" w:fill="E7E6E6" w:themeFill="background2"/>
          </w:tcPr>
          <w:p w14:paraId="748F4313" w14:textId="77777777" w:rsidR="009A6AF0" w:rsidRPr="00FA1B41" w:rsidRDefault="009A6AF0" w:rsidP="00CD3C00">
            <w:pPr>
              <w:contextualSpacing/>
              <w:rPr>
                <w:rFonts w:cstheme="minorHAnsi"/>
                <w:b/>
                <w:bCs/>
                <w:i/>
                <w:iCs/>
                <w:sz w:val="24"/>
                <w:szCs w:val="24"/>
              </w:rPr>
            </w:pPr>
            <w:r w:rsidRPr="00FA1B41">
              <w:rPr>
                <w:rFonts w:cstheme="minorHAnsi"/>
                <w:b/>
                <w:bCs/>
                <w:i/>
                <w:iCs/>
                <w:sz w:val="24"/>
                <w:szCs w:val="24"/>
              </w:rPr>
              <w:t>GRADE PERCENT</w:t>
            </w:r>
          </w:p>
        </w:tc>
        <w:tc>
          <w:tcPr>
            <w:tcW w:w="2817" w:type="dxa"/>
            <w:shd w:val="clear" w:color="auto" w:fill="E7E6E6" w:themeFill="background2"/>
          </w:tcPr>
          <w:p w14:paraId="370D2A09" w14:textId="77777777" w:rsidR="009A6AF0" w:rsidRPr="00FA1B41" w:rsidRDefault="009A6AF0" w:rsidP="00CD3C00">
            <w:pPr>
              <w:contextualSpacing/>
              <w:rPr>
                <w:rFonts w:cstheme="minorHAnsi"/>
                <w:b/>
                <w:bCs/>
                <w:i/>
                <w:iCs/>
                <w:sz w:val="24"/>
                <w:szCs w:val="24"/>
              </w:rPr>
            </w:pPr>
            <w:r w:rsidRPr="00FA1B41">
              <w:rPr>
                <w:rFonts w:cstheme="minorHAnsi"/>
                <w:b/>
                <w:bCs/>
                <w:i/>
                <w:iCs/>
                <w:sz w:val="24"/>
                <w:szCs w:val="24"/>
              </w:rPr>
              <w:t>GRADE</w:t>
            </w:r>
          </w:p>
        </w:tc>
        <w:tc>
          <w:tcPr>
            <w:tcW w:w="2818" w:type="dxa"/>
            <w:shd w:val="clear" w:color="auto" w:fill="E7E6E6" w:themeFill="background2"/>
          </w:tcPr>
          <w:p w14:paraId="0F12781C" w14:textId="77777777" w:rsidR="009A6AF0" w:rsidRPr="00FA1B41" w:rsidRDefault="009A6AF0" w:rsidP="00CD3C00">
            <w:pPr>
              <w:contextualSpacing/>
              <w:rPr>
                <w:rFonts w:cstheme="minorHAnsi"/>
                <w:b/>
                <w:bCs/>
                <w:i/>
                <w:iCs/>
                <w:sz w:val="24"/>
                <w:szCs w:val="24"/>
              </w:rPr>
            </w:pPr>
            <w:r w:rsidRPr="00FA1B41">
              <w:rPr>
                <w:rFonts w:cstheme="minorHAnsi"/>
                <w:b/>
                <w:bCs/>
                <w:i/>
                <w:iCs/>
                <w:sz w:val="24"/>
                <w:szCs w:val="24"/>
              </w:rPr>
              <w:t>DESCRIPTION</w:t>
            </w:r>
          </w:p>
        </w:tc>
      </w:tr>
      <w:tr w:rsidR="009A6AF0" w:rsidRPr="00FA1B41" w14:paraId="6475642F" w14:textId="77777777" w:rsidTr="00CD3C00">
        <w:tc>
          <w:tcPr>
            <w:tcW w:w="2817" w:type="dxa"/>
          </w:tcPr>
          <w:p w14:paraId="72ACB77B" w14:textId="77777777" w:rsidR="009A6AF0" w:rsidRPr="00FA1B41" w:rsidRDefault="009A6AF0" w:rsidP="00CD3C00">
            <w:pPr>
              <w:contextualSpacing/>
              <w:rPr>
                <w:rFonts w:cstheme="minorHAnsi"/>
                <w:sz w:val="24"/>
                <w:szCs w:val="24"/>
              </w:rPr>
            </w:pPr>
            <w:r w:rsidRPr="00FA1B41">
              <w:rPr>
                <w:rFonts w:cstheme="minorHAnsi"/>
                <w:sz w:val="24"/>
                <w:szCs w:val="24"/>
              </w:rPr>
              <w:t>90-100</w:t>
            </w:r>
          </w:p>
        </w:tc>
        <w:tc>
          <w:tcPr>
            <w:tcW w:w="2817" w:type="dxa"/>
          </w:tcPr>
          <w:p w14:paraId="6707ED41" w14:textId="77777777" w:rsidR="009A6AF0" w:rsidRPr="00FA1B41" w:rsidRDefault="009A6AF0" w:rsidP="00CD3C00">
            <w:pPr>
              <w:contextualSpacing/>
              <w:rPr>
                <w:rFonts w:cstheme="minorHAnsi"/>
                <w:sz w:val="24"/>
                <w:szCs w:val="24"/>
              </w:rPr>
            </w:pPr>
            <w:r w:rsidRPr="00FA1B41">
              <w:rPr>
                <w:rFonts w:cstheme="minorHAnsi"/>
                <w:sz w:val="24"/>
                <w:szCs w:val="24"/>
              </w:rPr>
              <w:t>A</w:t>
            </w:r>
          </w:p>
        </w:tc>
        <w:tc>
          <w:tcPr>
            <w:tcW w:w="2818" w:type="dxa"/>
          </w:tcPr>
          <w:p w14:paraId="3625D551" w14:textId="77777777" w:rsidR="009A6AF0" w:rsidRPr="00FA1B41" w:rsidRDefault="009A6AF0" w:rsidP="00CD3C00">
            <w:pPr>
              <w:contextualSpacing/>
              <w:rPr>
                <w:rFonts w:cstheme="minorHAnsi"/>
                <w:sz w:val="24"/>
                <w:szCs w:val="24"/>
              </w:rPr>
            </w:pPr>
            <w:r w:rsidRPr="00FA1B41">
              <w:rPr>
                <w:rFonts w:cstheme="minorHAnsi"/>
                <w:sz w:val="24"/>
                <w:szCs w:val="24"/>
              </w:rPr>
              <w:t>Excellent</w:t>
            </w:r>
          </w:p>
        </w:tc>
      </w:tr>
      <w:tr w:rsidR="009A6AF0" w:rsidRPr="00FA1B41" w14:paraId="3336165D" w14:textId="77777777" w:rsidTr="00CD3C00">
        <w:tc>
          <w:tcPr>
            <w:tcW w:w="2817" w:type="dxa"/>
          </w:tcPr>
          <w:p w14:paraId="06913E29" w14:textId="77777777" w:rsidR="009A6AF0" w:rsidRPr="00FA1B41" w:rsidRDefault="009A6AF0" w:rsidP="00CD3C00">
            <w:pPr>
              <w:contextualSpacing/>
              <w:rPr>
                <w:rFonts w:cstheme="minorHAnsi"/>
                <w:sz w:val="24"/>
                <w:szCs w:val="24"/>
              </w:rPr>
            </w:pPr>
            <w:r w:rsidRPr="00FA1B41">
              <w:rPr>
                <w:rFonts w:cstheme="minorHAnsi"/>
                <w:sz w:val="24"/>
                <w:szCs w:val="24"/>
              </w:rPr>
              <w:t>80-89</w:t>
            </w:r>
          </w:p>
        </w:tc>
        <w:tc>
          <w:tcPr>
            <w:tcW w:w="2817" w:type="dxa"/>
          </w:tcPr>
          <w:p w14:paraId="0D0A71A1" w14:textId="77777777" w:rsidR="009A6AF0" w:rsidRPr="00FA1B41" w:rsidRDefault="009A6AF0" w:rsidP="00CD3C00">
            <w:pPr>
              <w:contextualSpacing/>
              <w:rPr>
                <w:rFonts w:cstheme="minorHAnsi"/>
                <w:sz w:val="24"/>
                <w:szCs w:val="24"/>
              </w:rPr>
            </w:pPr>
            <w:r w:rsidRPr="00FA1B41">
              <w:rPr>
                <w:rFonts w:cstheme="minorHAnsi"/>
                <w:sz w:val="24"/>
                <w:szCs w:val="24"/>
              </w:rPr>
              <w:t>B</w:t>
            </w:r>
          </w:p>
        </w:tc>
        <w:tc>
          <w:tcPr>
            <w:tcW w:w="2818" w:type="dxa"/>
          </w:tcPr>
          <w:p w14:paraId="64B5F2F2" w14:textId="77777777" w:rsidR="009A6AF0" w:rsidRPr="00FA1B41" w:rsidRDefault="009A6AF0" w:rsidP="00CD3C00">
            <w:pPr>
              <w:contextualSpacing/>
              <w:rPr>
                <w:rFonts w:cstheme="minorHAnsi"/>
                <w:sz w:val="24"/>
                <w:szCs w:val="24"/>
              </w:rPr>
            </w:pPr>
            <w:r w:rsidRPr="00FA1B41">
              <w:rPr>
                <w:rFonts w:cstheme="minorHAnsi"/>
                <w:sz w:val="24"/>
                <w:szCs w:val="24"/>
              </w:rPr>
              <w:t>Good</w:t>
            </w:r>
          </w:p>
        </w:tc>
      </w:tr>
      <w:tr w:rsidR="009A6AF0" w:rsidRPr="00FA1B41" w14:paraId="29B3574C" w14:textId="77777777" w:rsidTr="00CD3C00">
        <w:tc>
          <w:tcPr>
            <w:tcW w:w="2817" w:type="dxa"/>
          </w:tcPr>
          <w:p w14:paraId="3D04CF91" w14:textId="77777777" w:rsidR="009A6AF0" w:rsidRPr="00FA1B41" w:rsidRDefault="009A6AF0" w:rsidP="00CD3C00">
            <w:pPr>
              <w:contextualSpacing/>
              <w:rPr>
                <w:rFonts w:cstheme="minorHAnsi"/>
                <w:sz w:val="24"/>
                <w:szCs w:val="24"/>
              </w:rPr>
            </w:pPr>
            <w:r w:rsidRPr="00FA1B41">
              <w:rPr>
                <w:rFonts w:cstheme="minorHAnsi"/>
                <w:sz w:val="24"/>
                <w:szCs w:val="24"/>
              </w:rPr>
              <w:t>75-79</w:t>
            </w:r>
          </w:p>
        </w:tc>
        <w:tc>
          <w:tcPr>
            <w:tcW w:w="2817" w:type="dxa"/>
          </w:tcPr>
          <w:p w14:paraId="7C9BC916" w14:textId="77777777" w:rsidR="009A6AF0" w:rsidRPr="00FA1B41" w:rsidRDefault="009A6AF0" w:rsidP="00CD3C00">
            <w:pPr>
              <w:contextualSpacing/>
              <w:rPr>
                <w:rFonts w:cstheme="minorHAnsi"/>
                <w:sz w:val="24"/>
                <w:szCs w:val="24"/>
              </w:rPr>
            </w:pPr>
            <w:r w:rsidRPr="00FA1B41">
              <w:rPr>
                <w:rFonts w:cstheme="minorHAnsi"/>
                <w:sz w:val="24"/>
                <w:szCs w:val="24"/>
              </w:rPr>
              <w:t>C</w:t>
            </w:r>
          </w:p>
        </w:tc>
        <w:tc>
          <w:tcPr>
            <w:tcW w:w="2818" w:type="dxa"/>
          </w:tcPr>
          <w:p w14:paraId="7F7E41E8" w14:textId="77777777" w:rsidR="009A6AF0" w:rsidRPr="00FA1B41" w:rsidRDefault="009A6AF0" w:rsidP="00CD3C00">
            <w:pPr>
              <w:contextualSpacing/>
              <w:rPr>
                <w:rFonts w:cstheme="minorHAnsi"/>
                <w:sz w:val="24"/>
                <w:szCs w:val="24"/>
              </w:rPr>
            </w:pPr>
            <w:r w:rsidRPr="00FA1B41">
              <w:rPr>
                <w:rFonts w:cstheme="minorHAnsi"/>
                <w:sz w:val="24"/>
                <w:szCs w:val="24"/>
              </w:rPr>
              <w:t>Satisfactory</w:t>
            </w:r>
          </w:p>
        </w:tc>
      </w:tr>
      <w:tr w:rsidR="009A6AF0" w:rsidRPr="00FA1B41" w14:paraId="6359AEF3" w14:textId="77777777" w:rsidTr="00CD3C00">
        <w:tc>
          <w:tcPr>
            <w:tcW w:w="2817" w:type="dxa"/>
          </w:tcPr>
          <w:p w14:paraId="6028B561" w14:textId="77777777" w:rsidR="009A6AF0" w:rsidRPr="00FA1B41" w:rsidRDefault="009A6AF0" w:rsidP="00CD3C00">
            <w:pPr>
              <w:contextualSpacing/>
              <w:rPr>
                <w:rFonts w:cstheme="minorHAnsi"/>
                <w:sz w:val="24"/>
                <w:szCs w:val="24"/>
              </w:rPr>
            </w:pPr>
            <w:r w:rsidRPr="00FA1B41">
              <w:rPr>
                <w:rFonts w:cstheme="minorHAnsi"/>
                <w:sz w:val="24"/>
                <w:szCs w:val="24"/>
              </w:rPr>
              <w:t>0-74</w:t>
            </w:r>
          </w:p>
        </w:tc>
        <w:tc>
          <w:tcPr>
            <w:tcW w:w="2817" w:type="dxa"/>
          </w:tcPr>
          <w:p w14:paraId="14C341FA" w14:textId="77777777" w:rsidR="009A6AF0" w:rsidRPr="00FA1B41" w:rsidRDefault="009A6AF0" w:rsidP="00CD3C00">
            <w:pPr>
              <w:contextualSpacing/>
              <w:rPr>
                <w:rFonts w:cstheme="minorHAnsi"/>
                <w:sz w:val="24"/>
                <w:szCs w:val="24"/>
              </w:rPr>
            </w:pPr>
            <w:r w:rsidRPr="00FA1B41">
              <w:rPr>
                <w:rFonts w:cstheme="minorHAnsi"/>
                <w:sz w:val="24"/>
                <w:szCs w:val="24"/>
              </w:rPr>
              <w:t>F</w:t>
            </w:r>
          </w:p>
        </w:tc>
        <w:tc>
          <w:tcPr>
            <w:tcW w:w="2818" w:type="dxa"/>
          </w:tcPr>
          <w:p w14:paraId="21C6D157" w14:textId="77777777" w:rsidR="009A6AF0" w:rsidRPr="00FA1B41" w:rsidRDefault="009A6AF0" w:rsidP="00CD3C00">
            <w:pPr>
              <w:contextualSpacing/>
              <w:rPr>
                <w:rFonts w:cstheme="minorHAnsi"/>
                <w:sz w:val="24"/>
                <w:szCs w:val="24"/>
              </w:rPr>
            </w:pPr>
            <w:r w:rsidRPr="00FA1B41">
              <w:rPr>
                <w:rFonts w:cstheme="minorHAnsi"/>
                <w:sz w:val="24"/>
                <w:szCs w:val="24"/>
              </w:rPr>
              <w:t>Fail</w:t>
            </w:r>
          </w:p>
        </w:tc>
      </w:tr>
      <w:tr w:rsidR="009A6AF0" w:rsidRPr="00FA1B41" w14:paraId="43ED62D5" w14:textId="77777777" w:rsidTr="00CD3C00">
        <w:tc>
          <w:tcPr>
            <w:tcW w:w="2817" w:type="dxa"/>
          </w:tcPr>
          <w:p w14:paraId="029990E6" w14:textId="77777777" w:rsidR="009A6AF0" w:rsidRPr="00FA1B41" w:rsidRDefault="009A6AF0" w:rsidP="00CD3C00">
            <w:pPr>
              <w:contextualSpacing/>
              <w:rPr>
                <w:rFonts w:cstheme="minorHAnsi"/>
                <w:sz w:val="24"/>
                <w:szCs w:val="24"/>
              </w:rPr>
            </w:pPr>
          </w:p>
        </w:tc>
        <w:tc>
          <w:tcPr>
            <w:tcW w:w="2817" w:type="dxa"/>
          </w:tcPr>
          <w:p w14:paraId="58587B41" w14:textId="77777777" w:rsidR="009A6AF0" w:rsidRPr="00FA1B41" w:rsidRDefault="009A6AF0" w:rsidP="00CD3C00">
            <w:pPr>
              <w:contextualSpacing/>
              <w:rPr>
                <w:rFonts w:cstheme="minorHAnsi"/>
                <w:sz w:val="24"/>
                <w:szCs w:val="24"/>
              </w:rPr>
            </w:pPr>
            <w:r w:rsidRPr="00FA1B41">
              <w:rPr>
                <w:rFonts w:cstheme="minorHAnsi"/>
                <w:sz w:val="24"/>
                <w:szCs w:val="24"/>
              </w:rPr>
              <w:t>NC</w:t>
            </w:r>
          </w:p>
        </w:tc>
        <w:tc>
          <w:tcPr>
            <w:tcW w:w="2818" w:type="dxa"/>
          </w:tcPr>
          <w:p w14:paraId="557D5331" w14:textId="77777777" w:rsidR="009A6AF0" w:rsidRPr="00FA1B41" w:rsidRDefault="009A6AF0" w:rsidP="00CD3C00">
            <w:pPr>
              <w:contextualSpacing/>
              <w:rPr>
                <w:rFonts w:cstheme="minorHAnsi"/>
                <w:sz w:val="24"/>
                <w:szCs w:val="24"/>
              </w:rPr>
            </w:pPr>
            <w:r w:rsidRPr="00FA1B41">
              <w:rPr>
                <w:rFonts w:cstheme="minorHAnsi"/>
                <w:sz w:val="24"/>
                <w:szCs w:val="24"/>
              </w:rPr>
              <w:t>No Credit</w:t>
            </w:r>
          </w:p>
        </w:tc>
      </w:tr>
      <w:tr w:rsidR="009A6AF0" w:rsidRPr="00FA1B41" w14:paraId="5FB612C5" w14:textId="77777777" w:rsidTr="00CD3C00">
        <w:tc>
          <w:tcPr>
            <w:tcW w:w="2817" w:type="dxa"/>
          </w:tcPr>
          <w:p w14:paraId="04F54BAA" w14:textId="77777777" w:rsidR="009A6AF0" w:rsidRPr="00FA1B41" w:rsidRDefault="009A6AF0" w:rsidP="00CD3C00">
            <w:pPr>
              <w:contextualSpacing/>
              <w:rPr>
                <w:rFonts w:cstheme="minorHAnsi"/>
                <w:sz w:val="24"/>
                <w:szCs w:val="24"/>
              </w:rPr>
            </w:pPr>
          </w:p>
        </w:tc>
        <w:tc>
          <w:tcPr>
            <w:tcW w:w="2817" w:type="dxa"/>
          </w:tcPr>
          <w:p w14:paraId="51647AC5" w14:textId="77777777" w:rsidR="009A6AF0" w:rsidRPr="00FA1B41" w:rsidRDefault="009A6AF0" w:rsidP="00CD3C00">
            <w:pPr>
              <w:contextualSpacing/>
              <w:rPr>
                <w:rFonts w:cstheme="minorHAnsi"/>
                <w:sz w:val="24"/>
                <w:szCs w:val="24"/>
              </w:rPr>
            </w:pPr>
            <w:r w:rsidRPr="00FA1B41">
              <w:rPr>
                <w:rFonts w:cstheme="minorHAnsi"/>
                <w:sz w:val="24"/>
                <w:szCs w:val="24"/>
              </w:rPr>
              <w:t>W</w:t>
            </w:r>
          </w:p>
        </w:tc>
        <w:tc>
          <w:tcPr>
            <w:tcW w:w="2818" w:type="dxa"/>
          </w:tcPr>
          <w:p w14:paraId="16C6B262" w14:textId="77777777" w:rsidR="009A6AF0" w:rsidRPr="00FA1B41" w:rsidRDefault="009A6AF0" w:rsidP="00CD3C00">
            <w:pPr>
              <w:contextualSpacing/>
              <w:rPr>
                <w:rFonts w:cstheme="minorHAnsi"/>
                <w:sz w:val="24"/>
                <w:szCs w:val="24"/>
              </w:rPr>
            </w:pPr>
            <w:r w:rsidRPr="00FA1B41">
              <w:rPr>
                <w:rFonts w:cstheme="minorHAnsi"/>
                <w:sz w:val="24"/>
                <w:szCs w:val="24"/>
              </w:rPr>
              <w:t>Withdrawal</w:t>
            </w:r>
          </w:p>
        </w:tc>
      </w:tr>
    </w:tbl>
    <w:p w14:paraId="4BE3D07B" w14:textId="77777777" w:rsidR="00B503C7" w:rsidRDefault="00B503C7" w:rsidP="0060072F">
      <w:pPr>
        <w:rPr>
          <w:rFonts w:cstheme="minorHAnsi"/>
          <w:b/>
          <w:bCs/>
          <w:i/>
          <w:iCs/>
          <w:sz w:val="24"/>
          <w:szCs w:val="24"/>
        </w:rPr>
      </w:pPr>
    </w:p>
    <w:p w14:paraId="13A861DC" w14:textId="68C855F9" w:rsidR="0060072F" w:rsidRPr="00FA1B41" w:rsidRDefault="0060072F" w:rsidP="0060072F">
      <w:pPr>
        <w:rPr>
          <w:rFonts w:cstheme="minorHAnsi"/>
          <w:b/>
          <w:bCs/>
          <w:i/>
          <w:iCs/>
          <w:sz w:val="24"/>
          <w:szCs w:val="24"/>
        </w:rPr>
      </w:pPr>
      <w:r w:rsidRPr="00FA1B41">
        <w:rPr>
          <w:rFonts w:cstheme="minorHAnsi"/>
          <w:b/>
          <w:bCs/>
          <w:i/>
          <w:iCs/>
          <w:sz w:val="24"/>
          <w:szCs w:val="24"/>
        </w:rPr>
        <w:t>WITHDRAWAL POLICY</w:t>
      </w:r>
    </w:p>
    <w:p w14:paraId="3DBEFF67" w14:textId="30A4780A" w:rsidR="0060072F" w:rsidRPr="00FA1B41" w:rsidRDefault="0060072F" w:rsidP="0060072F">
      <w:pPr>
        <w:rPr>
          <w:rFonts w:cstheme="minorHAnsi"/>
          <w:sz w:val="24"/>
          <w:szCs w:val="24"/>
        </w:rPr>
      </w:pPr>
      <w:r w:rsidRPr="00FA1B41">
        <w:rPr>
          <w:rFonts w:cstheme="minorHAnsi"/>
          <w:sz w:val="24"/>
          <w:szCs w:val="24"/>
        </w:rPr>
        <w:t>Students who withdraw from the program will receive a grade of “</w:t>
      </w:r>
      <w:r w:rsidR="00390AD9">
        <w:rPr>
          <w:rFonts w:cstheme="minorHAnsi"/>
          <w:sz w:val="24"/>
          <w:szCs w:val="24"/>
        </w:rPr>
        <w:t>Dropped</w:t>
      </w:r>
      <w:r w:rsidRPr="00FA1B41">
        <w:rPr>
          <w:rFonts w:cstheme="minorHAnsi"/>
          <w:sz w:val="24"/>
          <w:szCs w:val="24"/>
        </w:rPr>
        <w:t xml:space="preserve">” in each course enrolled in at the time of withdrawal. </w:t>
      </w:r>
    </w:p>
    <w:p w14:paraId="445BA8DB" w14:textId="77777777" w:rsidR="00BE58F5" w:rsidRDefault="00BE58F5" w:rsidP="009A6AF0">
      <w:pPr>
        <w:contextualSpacing/>
        <w:rPr>
          <w:rFonts w:cstheme="minorHAnsi"/>
          <w:b/>
          <w:bCs/>
          <w:sz w:val="24"/>
          <w:szCs w:val="24"/>
        </w:rPr>
      </w:pPr>
    </w:p>
    <w:p w14:paraId="302DE9FB" w14:textId="3E88020A" w:rsidR="009A6AF0" w:rsidRDefault="009A6AF0" w:rsidP="009A6AF0">
      <w:pPr>
        <w:contextualSpacing/>
        <w:rPr>
          <w:rFonts w:cstheme="minorHAnsi"/>
          <w:b/>
          <w:bCs/>
          <w:sz w:val="24"/>
          <w:szCs w:val="24"/>
        </w:rPr>
      </w:pPr>
      <w:r w:rsidRPr="00EA7E9C">
        <w:rPr>
          <w:rFonts w:cstheme="minorHAnsi"/>
          <w:b/>
          <w:bCs/>
          <w:sz w:val="24"/>
          <w:szCs w:val="24"/>
        </w:rPr>
        <w:t xml:space="preserve">Cumulative </w:t>
      </w:r>
      <w:r>
        <w:rPr>
          <w:rFonts w:cstheme="minorHAnsi"/>
          <w:b/>
          <w:bCs/>
          <w:sz w:val="24"/>
          <w:szCs w:val="24"/>
        </w:rPr>
        <w:t>Pace of Completion (Quantitative Measure)</w:t>
      </w:r>
    </w:p>
    <w:p w14:paraId="57D804B2" w14:textId="7E9D375C" w:rsidR="00C07F73" w:rsidRPr="00EA7E9C" w:rsidRDefault="00C37F36" w:rsidP="009A6AF0">
      <w:pPr>
        <w:contextualSpacing/>
        <w:rPr>
          <w:rFonts w:cstheme="minorHAnsi"/>
          <w:b/>
          <w:bCs/>
          <w:sz w:val="24"/>
          <w:szCs w:val="24"/>
        </w:rPr>
      </w:pPr>
      <w:r w:rsidRPr="0068366B">
        <w:rPr>
          <w:rFonts w:cstheme="minorHAnsi"/>
          <w:sz w:val="24"/>
          <w:szCs w:val="24"/>
        </w:rPr>
        <w:t xml:space="preserve">A student must complete </w:t>
      </w:r>
      <w:r>
        <w:rPr>
          <w:rFonts w:cstheme="minorHAnsi"/>
          <w:sz w:val="24"/>
          <w:szCs w:val="24"/>
        </w:rPr>
        <w:t>98</w:t>
      </w:r>
      <w:r w:rsidRPr="0068366B">
        <w:rPr>
          <w:rFonts w:cstheme="minorHAnsi"/>
          <w:sz w:val="24"/>
          <w:szCs w:val="24"/>
        </w:rPr>
        <w:t>% of the total number of hours scheduled for each payment period</w:t>
      </w:r>
      <w:r>
        <w:rPr>
          <w:rFonts w:cstheme="minorHAnsi"/>
          <w:sz w:val="24"/>
          <w:szCs w:val="24"/>
        </w:rPr>
        <w:t xml:space="preserve"> </w:t>
      </w:r>
      <w:r w:rsidRPr="0068366B">
        <w:rPr>
          <w:rFonts w:cstheme="minorHAnsi"/>
          <w:sz w:val="24"/>
          <w:szCs w:val="24"/>
        </w:rPr>
        <w:t>(Attempted hours divided by scheduled hours). For this calculation, there is no rounding.</w:t>
      </w:r>
    </w:p>
    <w:p w14:paraId="096868A2" w14:textId="6D3CDC17" w:rsidR="00BE58F5" w:rsidRDefault="00BE58F5" w:rsidP="00CB68F9">
      <w:r w:rsidRPr="00BE58F5">
        <w:drawing>
          <wp:inline distT="0" distB="0" distL="0" distR="0" wp14:anchorId="52D4436F" wp14:editId="2F141DA6">
            <wp:extent cx="6572250" cy="23704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0" cy="2370455"/>
                    </a:xfrm>
                    <a:prstGeom prst="rect">
                      <a:avLst/>
                    </a:prstGeom>
                    <a:noFill/>
                    <a:ln>
                      <a:noFill/>
                    </a:ln>
                  </pic:spPr>
                </pic:pic>
              </a:graphicData>
            </a:graphic>
          </wp:inline>
        </w:drawing>
      </w:r>
    </w:p>
    <w:p w14:paraId="2CF4F4FF" w14:textId="7CC7E1FF" w:rsidR="003E3746" w:rsidRDefault="003E3746" w:rsidP="00CB68F9"/>
    <w:p w14:paraId="1EBA95AC" w14:textId="77777777" w:rsidR="00BE58F5" w:rsidRDefault="00BE58F5" w:rsidP="00CB68F9">
      <w:pPr>
        <w:rPr>
          <w:rFonts w:cstheme="minorHAnsi"/>
          <w:b/>
          <w:bCs/>
          <w:sz w:val="24"/>
          <w:szCs w:val="24"/>
        </w:rPr>
      </w:pPr>
    </w:p>
    <w:p w14:paraId="3D61B5D8" w14:textId="77777777" w:rsidR="00BE58F5" w:rsidRDefault="00BE58F5" w:rsidP="00CB68F9">
      <w:pPr>
        <w:rPr>
          <w:rFonts w:cstheme="minorHAnsi"/>
          <w:b/>
          <w:bCs/>
          <w:sz w:val="24"/>
          <w:szCs w:val="24"/>
        </w:rPr>
      </w:pPr>
    </w:p>
    <w:p w14:paraId="0C4872BC" w14:textId="48040195" w:rsidR="00CB68F9" w:rsidRDefault="00CB68F9" w:rsidP="00CB68F9">
      <w:pPr>
        <w:rPr>
          <w:rFonts w:cstheme="minorHAnsi"/>
          <w:b/>
          <w:bCs/>
          <w:sz w:val="24"/>
          <w:szCs w:val="24"/>
        </w:rPr>
      </w:pPr>
      <w:bookmarkStart w:id="0" w:name="_GoBack"/>
      <w:bookmarkEnd w:id="0"/>
      <w:r w:rsidRPr="0068366B">
        <w:rPr>
          <w:rFonts w:cstheme="minorHAnsi"/>
          <w:b/>
          <w:bCs/>
          <w:sz w:val="24"/>
          <w:szCs w:val="24"/>
        </w:rPr>
        <w:t>Maximum Timeframe</w:t>
      </w:r>
    </w:p>
    <w:p w14:paraId="1173236A" w14:textId="77777777" w:rsidR="007D3783" w:rsidRPr="002961BD" w:rsidRDefault="007D3783" w:rsidP="007D3783">
      <w:pPr>
        <w:rPr>
          <w:rFonts w:cstheme="minorHAnsi"/>
          <w:sz w:val="24"/>
          <w:szCs w:val="24"/>
          <w:highlight w:val="yellow"/>
        </w:rPr>
      </w:pPr>
      <w:r w:rsidRPr="002961BD">
        <w:rPr>
          <w:rFonts w:cstheme="minorHAnsi"/>
          <w:sz w:val="24"/>
          <w:szCs w:val="24"/>
        </w:rPr>
        <w:t>Student attending a clock hour program will be limited to 150% of the hours required to complete the student's program of study.  The total number of hours may include the total program hours and any hours taken if a student is repeating any coursework within the same enrollment.</w:t>
      </w:r>
    </w:p>
    <w:p w14:paraId="698EF7A1" w14:textId="77777777" w:rsidR="00CB68F9" w:rsidRDefault="00CB68F9" w:rsidP="00CB68F9">
      <w:pPr>
        <w:rPr>
          <w:rFonts w:cstheme="minorHAnsi"/>
          <w:sz w:val="24"/>
          <w:szCs w:val="24"/>
        </w:rPr>
      </w:pPr>
      <w:r w:rsidRPr="0068366B">
        <w:rPr>
          <w:rFonts w:cstheme="minorHAnsi"/>
          <w:sz w:val="24"/>
          <w:szCs w:val="24"/>
        </w:rPr>
        <w:t>If a student is unable to complete a degree or certificate program within the 1</w:t>
      </w:r>
      <w:r>
        <w:rPr>
          <w:rFonts w:cstheme="minorHAnsi"/>
          <w:sz w:val="24"/>
          <w:szCs w:val="24"/>
        </w:rPr>
        <w:t>50</w:t>
      </w:r>
      <w:r w:rsidRPr="0068366B">
        <w:rPr>
          <w:rFonts w:cstheme="minorHAnsi"/>
          <w:sz w:val="24"/>
          <w:szCs w:val="24"/>
        </w:rPr>
        <w:t>% timeframe calculation, the</w:t>
      </w:r>
      <w:r>
        <w:rPr>
          <w:rFonts w:cstheme="minorHAnsi"/>
          <w:sz w:val="24"/>
          <w:szCs w:val="24"/>
        </w:rPr>
        <w:t xml:space="preserve"> </w:t>
      </w:r>
      <w:r w:rsidRPr="0068366B">
        <w:rPr>
          <w:rFonts w:cstheme="minorHAnsi"/>
          <w:sz w:val="24"/>
          <w:szCs w:val="24"/>
        </w:rPr>
        <w:t>student is ineligible for financial aid as the student is not capable of completing the requirements within the</w:t>
      </w:r>
      <w:r>
        <w:rPr>
          <w:rFonts w:cstheme="minorHAnsi"/>
          <w:sz w:val="24"/>
          <w:szCs w:val="24"/>
        </w:rPr>
        <w:t xml:space="preserve"> </w:t>
      </w:r>
      <w:r w:rsidRPr="0068366B">
        <w:rPr>
          <w:rFonts w:cstheme="minorHAnsi"/>
          <w:sz w:val="24"/>
          <w:szCs w:val="24"/>
        </w:rPr>
        <w:t>regulatory guidelines.</w:t>
      </w:r>
    </w:p>
    <w:p w14:paraId="17AABE8C" w14:textId="3FBB1A52" w:rsidR="000F614C" w:rsidRPr="000F614C" w:rsidRDefault="000F614C" w:rsidP="000F614C">
      <w:pPr>
        <w:rPr>
          <w:rFonts w:cstheme="minorHAnsi"/>
          <w:b/>
          <w:bCs/>
          <w:color w:val="4472C4" w:themeColor="accent1"/>
        </w:rPr>
      </w:pPr>
      <w:r w:rsidRPr="000F614C">
        <w:rPr>
          <w:rFonts w:cstheme="minorHAnsi"/>
          <w:b/>
          <w:bCs/>
          <w:color w:val="4472C4" w:themeColor="accent1"/>
        </w:rPr>
        <w:t>Satisfactory Academic Progress (SAP) Standards - Statuses</w:t>
      </w:r>
    </w:p>
    <w:p w14:paraId="745C9ED4" w14:textId="37DB43AB" w:rsidR="000F614C" w:rsidRPr="000F614C" w:rsidRDefault="000F614C" w:rsidP="000F614C">
      <w:pPr>
        <w:rPr>
          <w:rFonts w:cstheme="minorHAnsi"/>
        </w:rPr>
      </w:pPr>
      <w:r w:rsidRPr="000F614C">
        <w:rPr>
          <w:rFonts w:cstheme="minorHAnsi"/>
        </w:rPr>
        <w:t>Satisfactory Academic Progress is determined at the end of each payment period (scheduled clock hours). All</w:t>
      </w:r>
      <w:r w:rsidR="00851BEB">
        <w:rPr>
          <w:rFonts w:cstheme="minorHAnsi"/>
        </w:rPr>
        <w:t xml:space="preserve"> </w:t>
      </w:r>
      <w:r w:rsidRPr="000F614C">
        <w:rPr>
          <w:rFonts w:cstheme="minorHAnsi"/>
        </w:rPr>
        <w:t xml:space="preserve">payment periods at </w:t>
      </w:r>
      <w:r w:rsidR="00851BEB">
        <w:rPr>
          <w:rFonts w:cstheme="minorHAnsi"/>
        </w:rPr>
        <w:t>Downey Adult School</w:t>
      </w:r>
      <w:r w:rsidRPr="000F614C">
        <w:rPr>
          <w:rFonts w:cstheme="minorHAnsi"/>
        </w:rPr>
        <w:t xml:space="preserve"> are included when determining a student's satisfactory academic</w:t>
      </w:r>
      <w:r w:rsidR="00851BEB">
        <w:rPr>
          <w:rFonts w:cstheme="minorHAnsi"/>
        </w:rPr>
        <w:t xml:space="preserve"> </w:t>
      </w:r>
      <w:r w:rsidRPr="000F614C">
        <w:rPr>
          <w:rFonts w:cstheme="minorHAnsi"/>
        </w:rPr>
        <w:t>progress.</w:t>
      </w:r>
    </w:p>
    <w:p w14:paraId="3D346944" w14:textId="5130BEDC" w:rsidR="000F614C" w:rsidRPr="000F614C" w:rsidRDefault="000F614C" w:rsidP="000F614C">
      <w:pPr>
        <w:rPr>
          <w:rFonts w:cstheme="minorHAnsi"/>
        </w:rPr>
      </w:pPr>
      <w:r w:rsidRPr="000F614C">
        <w:rPr>
          <w:rFonts w:cstheme="minorHAnsi"/>
        </w:rPr>
        <w:t>There are defined outcomes once SAP has been determined at the end of each payment period (each</w:t>
      </w:r>
      <w:r w:rsidR="00851BEB">
        <w:rPr>
          <w:rFonts w:cstheme="minorHAnsi"/>
        </w:rPr>
        <w:t xml:space="preserve"> </w:t>
      </w:r>
      <w:r w:rsidRPr="000F614C">
        <w:rPr>
          <w:rFonts w:cstheme="minorHAnsi"/>
        </w:rPr>
        <w:t>program may have different payment periods), below is an example of a payment period:</w:t>
      </w:r>
    </w:p>
    <w:p w14:paraId="743D5DF3" w14:textId="03AEC948" w:rsidR="000F614C" w:rsidRPr="000F614C" w:rsidRDefault="000F614C" w:rsidP="000F614C">
      <w:pPr>
        <w:rPr>
          <w:rFonts w:cstheme="minorHAnsi"/>
        </w:rPr>
      </w:pPr>
      <w:r w:rsidRPr="000F614C">
        <w:rPr>
          <w:rFonts w:cstheme="minorHAnsi"/>
        </w:rPr>
        <w:t xml:space="preserve">If the </w:t>
      </w:r>
      <w:r w:rsidR="00851BEB">
        <w:rPr>
          <w:rFonts w:cstheme="minorHAnsi"/>
        </w:rPr>
        <w:t>school</w:t>
      </w:r>
      <w:r w:rsidRPr="000F614C">
        <w:rPr>
          <w:rFonts w:cstheme="minorHAnsi"/>
        </w:rPr>
        <w:t xml:space="preserve"> states an academic year for a clock hour student is 900 hours (38 weeks). The principles below</w:t>
      </w:r>
      <w:r w:rsidR="00851BEB">
        <w:rPr>
          <w:rFonts w:cstheme="minorHAnsi"/>
        </w:rPr>
        <w:t xml:space="preserve"> </w:t>
      </w:r>
      <w:r w:rsidRPr="000F614C">
        <w:rPr>
          <w:rFonts w:cstheme="minorHAnsi"/>
        </w:rPr>
        <w:t>would be followed:</w:t>
      </w:r>
    </w:p>
    <w:p w14:paraId="192B4AEF" w14:textId="7AAA930F" w:rsidR="000F614C" w:rsidRDefault="000F614C" w:rsidP="000F614C">
      <w:pPr>
        <w:pStyle w:val="ListParagraph"/>
        <w:numPr>
          <w:ilvl w:val="0"/>
          <w:numId w:val="2"/>
        </w:numPr>
        <w:rPr>
          <w:rFonts w:cstheme="minorHAnsi"/>
        </w:rPr>
      </w:pPr>
      <w:r w:rsidRPr="00F15EC0">
        <w:rPr>
          <w:rFonts w:cstheme="minorHAnsi"/>
        </w:rPr>
        <w:t>Programs lasting more than one</w:t>
      </w:r>
      <w:r w:rsidR="008B2ECA">
        <w:rPr>
          <w:rFonts w:cstheme="minorHAnsi"/>
        </w:rPr>
        <w:t>-</w:t>
      </w:r>
      <w:r w:rsidRPr="00F15EC0">
        <w:rPr>
          <w:rFonts w:cstheme="minorHAnsi"/>
        </w:rPr>
        <w:t>year length (</w:t>
      </w:r>
      <w:r w:rsidR="00F06957">
        <w:rPr>
          <w:rFonts w:cstheme="minorHAnsi"/>
        </w:rPr>
        <w:t>1110</w:t>
      </w:r>
      <w:r w:rsidRPr="00F15EC0">
        <w:rPr>
          <w:rFonts w:cstheme="minorHAnsi"/>
        </w:rPr>
        <w:t>) hours would first split into 2 equal payment periods</w:t>
      </w:r>
      <w:r w:rsidR="00F15EC0">
        <w:rPr>
          <w:rFonts w:cstheme="minorHAnsi"/>
        </w:rPr>
        <w:t xml:space="preserve"> </w:t>
      </w:r>
      <w:r w:rsidRPr="00F15EC0">
        <w:rPr>
          <w:rFonts w:cstheme="minorHAnsi"/>
        </w:rPr>
        <w:t xml:space="preserve">of 450 hours for the </w:t>
      </w:r>
      <w:r w:rsidR="005E3243">
        <w:rPr>
          <w:rFonts w:cstheme="minorHAnsi"/>
        </w:rPr>
        <w:t>first two payment periods</w:t>
      </w:r>
      <w:r w:rsidRPr="00F15EC0">
        <w:rPr>
          <w:rFonts w:cstheme="minorHAnsi"/>
        </w:rPr>
        <w:t xml:space="preserve"> and split the remaining hours in the </w:t>
      </w:r>
      <w:r w:rsidR="00CB671B">
        <w:rPr>
          <w:rFonts w:cstheme="minorHAnsi"/>
        </w:rPr>
        <w:t>third payment period.</w:t>
      </w:r>
    </w:p>
    <w:p w14:paraId="2CE67390" w14:textId="2FED2DD6" w:rsidR="000F614C" w:rsidRDefault="000F614C" w:rsidP="000F614C">
      <w:pPr>
        <w:pStyle w:val="ListParagraph"/>
        <w:numPr>
          <w:ilvl w:val="2"/>
          <w:numId w:val="2"/>
        </w:numPr>
        <w:rPr>
          <w:rFonts w:cstheme="minorHAnsi"/>
        </w:rPr>
      </w:pPr>
      <w:r w:rsidRPr="0073701B">
        <w:rPr>
          <w:rFonts w:cstheme="minorHAnsi"/>
        </w:rPr>
        <w:t>Example: Program is 1</w:t>
      </w:r>
      <w:r w:rsidR="00CB671B">
        <w:rPr>
          <w:rFonts w:cstheme="minorHAnsi"/>
        </w:rPr>
        <w:t>110</w:t>
      </w:r>
      <w:r w:rsidRPr="0073701B">
        <w:rPr>
          <w:rFonts w:cstheme="minorHAnsi"/>
        </w:rPr>
        <w:t xml:space="preserve"> hours (46 weeks) in length</w:t>
      </w:r>
    </w:p>
    <w:p w14:paraId="1FEC32C2" w14:textId="4771042E" w:rsidR="000F614C" w:rsidRDefault="000F614C" w:rsidP="000F614C">
      <w:pPr>
        <w:pStyle w:val="ListParagraph"/>
        <w:numPr>
          <w:ilvl w:val="3"/>
          <w:numId w:val="2"/>
        </w:numPr>
        <w:rPr>
          <w:rFonts w:cstheme="minorHAnsi"/>
        </w:rPr>
      </w:pPr>
      <w:r w:rsidRPr="004B632B">
        <w:rPr>
          <w:rFonts w:cstheme="minorHAnsi"/>
        </w:rPr>
        <w:t>1</w:t>
      </w:r>
      <w:r w:rsidR="00CA682F" w:rsidRPr="00CA682F">
        <w:rPr>
          <w:rFonts w:cstheme="minorHAnsi"/>
          <w:vertAlign w:val="superscript"/>
        </w:rPr>
        <w:t>st</w:t>
      </w:r>
      <w:r w:rsidR="00CA682F">
        <w:rPr>
          <w:rFonts w:cstheme="minorHAnsi"/>
        </w:rPr>
        <w:t xml:space="preserve"> </w:t>
      </w:r>
      <w:r w:rsidR="00CB671B">
        <w:rPr>
          <w:rFonts w:cstheme="minorHAnsi"/>
        </w:rPr>
        <w:t>payment period</w:t>
      </w:r>
    </w:p>
    <w:p w14:paraId="4363EEFA" w14:textId="1E64261E" w:rsidR="000F614C" w:rsidRDefault="00D722C3" w:rsidP="000F614C">
      <w:pPr>
        <w:pStyle w:val="ListParagraph"/>
        <w:numPr>
          <w:ilvl w:val="4"/>
          <w:numId w:val="2"/>
        </w:numPr>
        <w:rPr>
          <w:rFonts w:cstheme="minorHAnsi"/>
        </w:rPr>
      </w:pPr>
      <w:r>
        <w:rPr>
          <w:rFonts w:cstheme="minorHAnsi"/>
        </w:rPr>
        <w:t>P</w:t>
      </w:r>
      <w:r w:rsidR="000F614C" w:rsidRPr="004B632B">
        <w:rPr>
          <w:rFonts w:cstheme="minorHAnsi"/>
        </w:rPr>
        <w:t>ayment period would be 450 hours (</w:t>
      </w:r>
      <w:r w:rsidR="006E143D">
        <w:rPr>
          <w:rFonts w:cstheme="minorHAnsi"/>
        </w:rPr>
        <w:t>20</w:t>
      </w:r>
      <w:r w:rsidR="000F614C" w:rsidRPr="004B632B">
        <w:rPr>
          <w:rFonts w:cstheme="minorHAnsi"/>
        </w:rPr>
        <w:t xml:space="preserve"> weeks)</w:t>
      </w:r>
    </w:p>
    <w:p w14:paraId="6BD3D6FE" w14:textId="2605CC08" w:rsidR="000F614C" w:rsidRDefault="000F614C" w:rsidP="000F614C">
      <w:pPr>
        <w:pStyle w:val="ListParagraph"/>
        <w:numPr>
          <w:ilvl w:val="3"/>
          <w:numId w:val="2"/>
        </w:numPr>
        <w:rPr>
          <w:rFonts w:cstheme="minorHAnsi"/>
        </w:rPr>
      </w:pPr>
      <w:r w:rsidRPr="00CB6B01">
        <w:rPr>
          <w:rFonts w:cstheme="minorHAnsi"/>
        </w:rPr>
        <w:t>2</w:t>
      </w:r>
      <w:r w:rsidR="00CA682F" w:rsidRPr="00CA682F">
        <w:rPr>
          <w:rFonts w:cstheme="minorHAnsi"/>
          <w:vertAlign w:val="superscript"/>
        </w:rPr>
        <w:t>nd</w:t>
      </w:r>
      <w:r w:rsidR="00CA682F">
        <w:rPr>
          <w:rFonts w:cstheme="minorHAnsi"/>
        </w:rPr>
        <w:t xml:space="preserve"> </w:t>
      </w:r>
      <w:r w:rsidR="001418C1">
        <w:rPr>
          <w:rFonts w:cstheme="minorHAnsi"/>
        </w:rPr>
        <w:t>payment period</w:t>
      </w:r>
    </w:p>
    <w:p w14:paraId="38EBB6E0" w14:textId="4818317C" w:rsidR="000F614C" w:rsidRDefault="00236B75" w:rsidP="000F614C">
      <w:pPr>
        <w:pStyle w:val="ListParagraph"/>
        <w:numPr>
          <w:ilvl w:val="4"/>
          <w:numId w:val="2"/>
        </w:numPr>
        <w:rPr>
          <w:rFonts w:cstheme="minorHAnsi"/>
        </w:rPr>
      </w:pPr>
      <w:r>
        <w:rPr>
          <w:rFonts w:cstheme="minorHAnsi"/>
        </w:rPr>
        <w:t xml:space="preserve">Payment period would be </w:t>
      </w:r>
      <w:r w:rsidR="006E143D">
        <w:rPr>
          <w:rFonts w:cstheme="minorHAnsi"/>
        </w:rPr>
        <w:t>900</w:t>
      </w:r>
      <w:r>
        <w:rPr>
          <w:rFonts w:cstheme="minorHAnsi"/>
        </w:rPr>
        <w:t xml:space="preserve"> hours (</w:t>
      </w:r>
      <w:r w:rsidR="006E143D">
        <w:rPr>
          <w:rFonts w:cstheme="minorHAnsi"/>
        </w:rPr>
        <w:t>39</w:t>
      </w:r>
      <w:r>
        <w:rPr>
          <w:rFonts w:cstheme="minorHAnsi"/>
        </w:rPr>
        <w:t xml:space="preserve"> weeks)</w:t>
      </w:r>
    </w:p>
    <w:p w14:paraId="004E91F2" w14:textId="55BA382B" w:rsidR="00236B75" w:rsidRDefault="00CA682F" w:rsidP="00236B75">
      <w:pPr>
        <w:pStyle w:val="ListParagraph"/>
        <w:numPr>
          <w:ilvl w:val="3"/>
          <w:numId w:val="2"/>
        </w:numPr>
        <w:rPr>
          <w:rFonts w:cstheme="minorHAnsi"/>
        </w:rPr>
      </w:pPr>
      <w:r>
        <w:rPr>
          <w:rFonts w:cstheme="minorHAnsi"/>
        </w:rPr>
        <w:t>3</w:t>
      </w:r>
      <w:r w:rsidRPr="00CA682F">
        <w:rPr>
          <w:rFonts w:cstheme="minorHAnsi"/>
          <w:vertAlign w:val="superscript"/>
        </w:rPr>
        <w:t>rd</w:t>
      </w:r>
      <w:r>
        <w:rPr>
          <w:rFonts w:cstheme="minorHAnsi"/>
        </w:rPr>
        <w:t xml:space="preserve"> payment period</w:t>
      </w:r>
    </w:p>
    <w:p w14:paraId="6409B331" w14:textId="249AF657" w:rsidR="00AC7722" w:rsidRPr="00CB6B01" w:rsidRDefault="00AC7722" w:rsidP="00AC7722">
      <w:pPr>
        <w:pStyle w:val="ListParagraph"/>
        <w:numPr>
          <w:ilvl w:val="4"/>
          <w:numId w:val="2"/>
        </w:numPr>
        <w:rPr>
          <w:rFonts w:cstheme="minorHAnsi"/>
        </w:rPr>
      </w:pPr>
      <w:r>
        <w:rPr>
          <w:rFonts w:cstheme="minorHAnsi"/>
        </w:rPr>
        <w:t>Payment period would be 210 hours (</w:t>
      </w:r>
      <w:r w:rsidR="006E143D">
        <w:rPr>
          <w:rFonts w:cstheme="minorHAnsi"/>
        </w:rPr>
        <w:t>7</w:t>
      </w:r>
      <w:r>
        <w:rPr>
          <w:rFonts w:cstheme="minorHAnsi"/>
        </w:rPr>
        <w:t xml:space="preserve"> weeks)</w:t>
      </w:r>
    </w:p>
    <w:p w14:paraId="61AEA7A0" w14:textId="6AB5D46B" w:rsidR="000F614C" w:rsidRDefault="000F614C" w:rsidP="000F614C">
      <w:pPr>
        <w:rPr>
          <w:rFonts w:cstheme="minorHAnsi"/>
        </w:rPr>
      </w:pPr>
      <w:r w:rsidRPr="000F614C">
        <w:rPr>
          <w:rFonts w:cstheme="minorHAnsi"/>
        </w:rPr>
        <w:lastRenderedPageBreak/>
        <w:t>Satisfactory Academic Progress Standards for clock hour student</w:t>
      </w:r>
      <w:r w:rsidR="00A04FB7">
        <w:rPr>
          <w:rFonts w:cstheme="minorHAnsi"/>
        </w:rPr>
        <w:t xml:space="preserve"> (</w:t>
      </w:r>
      <w:r w:rsidRPr="000F614C">
        <w:rPr>
          <w:rFonts w:cstheme="minorHAnsi"/>
        </w:rPr>
        <w:t>for financial aid purposes</w:t>
      </w:r>
      <w:r w:rsidR="00A04FB7">
        <w:rPr>
          <w:rFonts w:cstheme="minorHAnsi"/>
        </w:rPr>
        <w:t>)</w:t>
      </w:r>
      <w:r w:rsidRPr="000F614C">
        <w:rPr>
          <w:rFonts w:cstheme="minorHAnsi"/>
        </w:rPr>
        <w:t xml:space="preserve"> will be each</w:t>
      </w:r>
      <w:r w:rsidR="00CB6B01">
        <w:rPr>
          <w:rFonts w:cstheme="minorHAnsi"/>
        </w:rPr>
        <w:t xml:space="preserve"> </w:t>
      </w:r>
      <w:r w:rsidRPr="000F614C">
        <w:rPr>
          <w:rFonts w:cstheme="minorHAnsi"/>
        </w:rPr>
        <w:t>payment period using defined grades.</w:t>
      </w:r>
    </w:p>
    <w:p w14:paraId="09286903" w14:textId="77777777" w:rsidR="002F6565" w:rsidRPr="002F6565" w:rsidRDefault="002F6565" w:rsidP="002F6565">
      <w:pPr>
        <w:rPr>
          <w:rFonts w:cstheme="minorHAnsi"/>
          <w:b/>
          <w:bCs/>
        </w:rPr>
      </w:pPr>
      <w:r w:rsidRPr="002F6565">
        <w:rPr>
          <w:rFonts w:cstheme="minorHAnsi"/>
          <w:b/>
          <w:bCs/>
        </w:rPr>
        <w:t>Financial Aid Good Standing Status</w:t>
      </w:r>
    </w:p>
    <w:p w14:paraId="3EA4B8AB" w14:textId="7D8ED1ED" w:rsidR="002F6565" w:rsidRPr="002F6565" w:rsidRDefault="002F6565" w:rsidP="002F6565">
      <w:pPr>
        <w:rPr>
          <w:rFonts w:cstheme="minorHAnsi"/>
        </w:rPr>
      </w:pPr>
      <w:r w:rsidRPr="002F6565">
        <w:rPr>
          <w:rFonts w:cstheme="minorHAnsi"/>
        </w:rPr>
        <w:t>Student has met all the requirements of satisfactory academic progress and will continue to be eligible for</w:t>
      </w:r>
      <w:r w:rsidR="009377F1">
        <w:rPr>
          <w:rFonts w:cstheme="minorHAnsi"/>
        </w:rPr>
        <w:t xml:space="preserve"> </w:t>
      </w:r>
      <w:r w:rsidRPr="002F6565">
        <w:rPr>
          <w:rFonts w:cstheme="minorHAnsi"/>
        </w:rPr>
        <w:t xml:space="preserve">federal financial aid grants, </w:t>
      </w:r>
      <w:proofErr w:type="gramStart"/>
      <w:r w:rsidRPr="002F6565">
        <w:rPr>
          <w:rFonts w:cstheme="minorHAnsi"/>
        </w:rPr>
        <w:t>as long as</w:t>
      </w:r>
      <w:proofErr w:type="gramEnd"/>
      <w:r w:rsidRPr="002F6565">
        <w:rPr>
          <w:rFonts w:cstheme="minorHAnsi"/>
        </w:rPr>
        <w:t xml:space="preserve"> all other financial aid requirements are met.</w:t>
      </w:r>
    </w:p>
    <w:p w14:paraId="504D540F" w14:textId="77777777" w:rsidR="002F6565" w:rsidRPr="002F6565" w:rsidRDefault="002F6565" w:rsidP="002F6565">
      <w:pPr>
        <w:rPr>
          <w:rFonts w:cstheme="minorHAnsi"/>
          <w:b/>
          <w:bCs/>
        </w:rPr>
      </w:pPr>
      <w:r w:rsidRPr="002F6565">
        <w:rPr>
          <w:rFonts w:cstheme="minorHAnsi"/>
          <w:b/>
          <w:bCs/>
        </w:rPr>
        <w:t>Financial Aid Warning Status</w:t>
      </w:r>
    </w:p>
    <w:p w14:paraId="41D2CB15" w14:textId="6B1876D8" w:rsidR="002F6565" w:rsidRPr="002F6565" w:rsidRDefault="002F6565" w:rsidP="002F6565">
      <w:pPr>
        <w:rPr>
          <w:rFonts w:cstheme="minorHAnsi"/>
        </w:rPr>
      </w:pPr>
      <w:r w:rsidRPr="002F6565">
        <w:rPr>
          <w:rFonts w:cstheme="minorHAnsi"/>
        </w:rPr>
        <w:t>Student did not meet all the requirements of satisfactory academic progress and are now placed on "Warning</w:t>
      </w:r>
      <w:r w:rsidR="009377F1">
        <w:rPr>
          <w:rFonts w:cstheme="minorHAnsi"/>
        </w:rPr>
        <w:t xml:space="preserve">.”  </w:t>
      </w:r>
      <w:r w:rsidRPr="002F6565">
        <w:rPr>
          <w:rFonts w:cstheme="minorHAnsi"/>
        </w:rPr>
        <w:t xml:space="preserve">Students will receive financial aid if they are on "Warning" status </w:t>
      </w:r>
      <w:proofErr w:type="gramStart"/>
      <w:r w:rsidRPr="002F6565">
        <w:rPr>
          <w:rFonts w:cstheme="minorHAnsi"/>
        </w:rPr>
        <w:t>as long as</w:t>
      </w:r>
      <w:proofErr w:type="gramEnd"/>
      <w:r w:rsidRPr="002F6565">
        <w:rPr>
          <w:rFonts w:cstheme="minorHAnsi"/>
        </w:rPr>
        <w:t xml:space="preserve"> all other financial aid requirements</w:t>
      </w:r>
      <w:r w:rsidR="009377F1">
        <w:rPr>
          <w:rFonts w:cstheme="minorHAnsi"/>
        </w:rPr>
        <w:t xml:space="preserve"> </w:t>
      </w:r>
      <w:r w:rsidRPr="002F6565">
        <w:rPr>
          <w:rFonts w:cstheme="minorHAnsi"/>
        </w:rPr>
        <w:t>are met.</w:t>
      </w:r>
    </w:p>
    <w:p w14:paraId="1384CF21" w14:textId="505D0C72" w:rsidR="002F6565" w:rsidRPr="002F6565" w:rsidRDefault="002F6565" w:rsidP="002F6565">
      <w:pPr>
        <w:rPr>
          <w:rFonts w:cstheme="minorHAnsi"/>
        </w:rPr>
      </w:pPr>
      <w:r w:rsidRPr="002F6565">
        <w:rPr>
          <w:rFonts w:cstheme="minorHAnsi"/>
        </w:rPr>
        <w:t xml:space="preserve">Students have the </w:t>
      </w:r>
      <w:r w:rsidR="00967D22">
        <w:rPr>
          <w:rFonts w:cstheme="minorHAnsi"/>
        </w:rPr>
        <w:t>length of their current program</w:t>
      </w:r>
      <w:r w:rsidRPr="002F6565">
        <w:rPr>
          <w:rFonts w:cstheme="minorHAnsi"/>
        </w:rPr>
        <w:t xml:space="preserve"> in which they have been placed on "Warning" to meet </w:t>
      </w:r>
      <w:proofErr w:type="gramStart"/>
      <w:r w:rsidRPr="002F6565">
        <w:rPr>
          <w:rFonts w:cstheme="minorHAnsi"/>
        </w:rPr>
        <w:t>all of</w:t>
      </w:r>
      <w:proofErr w:type="gramEnd"/>
      <w:r w:rsidRPr="002F6565">
        <w:rPr>
          <w:rFonts w:cstheme="minorHAnsi"/>
        </w:rPr>
        <w:t xml:space="preserve"> the conditions of</w:t>
      </w:r>
      <w:r w:rsidR="009377F1">
        <w:rPr>
          <w:rFonts w:cstheme="minorHAnsi"/>
        </w:rPr>
        <w:t xml:space="preserve"> </w:t>
      </w:r>
      <w:r w:rsidRPr="002F6565">
        <w:rPr>
          <w:rFonts w:cstheme="minorHAnsi"/>
        </w:rPr>
        <w:t xml:space="preserve">satisfactory academic progress or they will be </w:t>
      </w:r>
      <w:r w:rsidR="00C8376E">
        <w:rPr>
          <w:rFonts w:cstheme="minorHAnsi"/>
        </w:rPr>
        <w:t>dismissed from the program.</w:t>
      </w:r>
    </w:p>
    <w:p w14:paraId="1C74675F" w14:textId="24941F27" w:rsidR="002F6565" w:rsidRPr="002F6565" w:rsidRDefault="002F6565" w:rsidP="002F6565">
      <w:pPr>
        <w:rPr>
          <w:rFonts w:cstheme="minorHAnsi"/>
        </w:rPr>
      </w:pPr>
      <w:r w:rsidRPr="002F6565">
        <w:rPr>
          <w:rFonts w:cstheme="minorHAnsi"/>
        </w:rPr>
        <w:t xml:space="preserve">Students must meet </w:t>
      </w:r>
      <w:proofErr w:type="gramStart"/>
      <w:r w:rsidRPr="002F6565">
        <w:rPr>
          <w:rFonts w:cstheme="minorHAnsi"/>
        </w:rPr>
        <w:t>all of</w:t>
      </w:r>
      <w:proofErr w:type="gramEnd"/>
      <w:r w:rsidRPr="002F6565">
        <w:rPr>
          <w:rFonts w:cstheme="minorHAnsi"/>
        </w:rPr>
        <w:t xml:space="preserve"> the SAP standards to be considered to be in good satisfactory academic standing.</w:t>
      </w:r>
      <w:r w:rsidR="00691256">
        <w:rPr>
          <w:rFonts w:cstheme="minorHAnsi"/>
        </w:rPr>
        <w:t xml:space="preserve"> </w:t>
      </w:r>
      <w:r w:rsidRPr="002F6565">
        <w:rPr>
          <w:rFonts w:cstheme="minorHAnsi"/>
        </w:rPr>
        <w:t xml:space="preserve">The </w:t>
      </w:r>
      <w:r w:rsidR="00691256">
        <w:rPr>
          <w:rFonts w:cstheme="minorHAnsi"/>
        </w:rPr>
        <w:t>school</w:t>
      </w:r>
      <w:r w:rsidRPr="002F6565">
        <w:rPr>
          <w:rFonts w:cstheme="minorHAnsi"/>
        </w:rPr>
        <w:t xml:space="preserve"> issues a formal warning payment period to students at the end of the first payment period during</w:t>
      </w:r>
      <w:r w:rsidR="009D4E0F">
        <w:rPr>
          <w:rFonts w:cstheme="minorHAnsi"/>
        </w:rPr>
        <w:t xml:space="preserve"> </w:t>
      </w:r>
      <w:r w:rsidRPr="002F6565">
        <w:rPr>
          <w:rFonts w:cstheme="minorHAnsi"/>
        </w:rPr>
        <w:t>which they fail to meet one or more of the SAP standards. Students who have not met</w:t>
      </w:r>
      <w:r w:rsidR="009D4E0F">
        <w:rPr>
          <w:rFonts w:cstheme="minorHAnsi"/>
        </w:rPr>
        <w:t xml:space="preserve"> </w:t>
      </w:r>
      <w:proofErr w:type="gramStart"/>
      <w:r w:rsidRPr="002F6565">
        <w:rPr>
          <w:rFonts w:cstheme="minorHAnsi"/>
        </w:rPr>
        <w:t>all of</w:t>
      </w:r>
      <w:proofErr w:type="gramEnd"/>
      <w:r w:rsidRPr="002F6565">
        <w:rPr>
          <w:rFonts w:cstheme="minorHAnsi"/>
        </w:rPr>
        <w:t xml:space="preserve"> the SAP standards are ineligible for Title IV aid at the end of the warning payment.</w:t>
      </w:r>
    </w:p>
    <w:p w14:paraId="1517F5F0" w14:textId="6CEE73F4" w:rsidR="002F6565" w:rsidRPr="004734A3" w:rsidRDefault="002F6565" w:rsidP="008C7213">
      <w:pPr>
        <w:rPr>
          <w:rFonts w:cstheme="minorHAnsi"/>
        </w:rPr>
      </w:pPr>
      <w:r w:rsidRPr="002F6565">
        <w:rPr>
          <w:rFonts w:cstheme="minorHAnsi"/>
        </w:rPr>
        <w:t xml:space="preserve">Students who meet </w:t>
      </w:r>
      <w:proofErr w:type="gramStart"/>
      <w:r w:rsidRPr="002F6565">
        <w:rPr>
          <w:rFonts w:cstheme="minorHAnsi"/>
        </w:rPr>
        <w:t>all of</w:t>
      </w:r>
      <w:proofErr w:type="gramEnd"/>
      <w:r w:rsidRPr="002F6565">
        <w:rPr>
          <w:rFonts w:cstheme="minorHAnsi"/>
        </w:rPr>
        <w:t xml:space="preserve"> the SAP standards during their payment period of warning are returned to </w:t>
      </w:r>
      <w:r w:rsidRPr="004734A3">
        <w:rPr>
          <w:rFonts w:cstheme="minorHAnsi"/>
        </w:rPr>
        <w:t>good</w:t>
      </w:r>
      <w:r w:rsidR="002B28E9" w:rsidRPr="004734A3">
        <w:rPr>
          <w:rFonts w:cstheme="minorHAnsi"/>
        </w:rPr>
        <w:t xml:space="preserve"> </w:t>
      </w:r>
      <w:r w:rsidRPr="004734A3">
        <w:rPr>
          <w:rFonts w:cstheme="minorHAnsi"/>
        </w:rPr>
        <w:t>satisfactory academic standing for financial aid</w:t>
      </w:r>
      <w:r w:rsidR="00BC072D" w:rsidRPr="004734A3">
        <w:rPr>
          <w:rFonts w:cstheme="minorHAnsi"/>
        </w:rPr>
        <w:t>.</w:t>
      </w:r>
    </w:p>
    <w:p w14:paraId="4404B949" w14:textId="1F62E0B4" w:rsidR="002F6565" w:rsidRPr="002F6565" w:rsidRDefault="002F6565" w:rsidP="002F6565">
      <w:pPr>
        <w:rPr>
          <w:rFonts w:cstheme="minorHAnsi"/>
        </w:rPr>
      </w:pPr>
      <w:r w:rsidRPr="004734A3">
        <w:rPr>
          <w:rFonts w:cstheme="minorHAnsi"/>
        </w:rPr>
        <w:t xml:space="preserve">A student may not have more than one sequential warning status; but, must come into good </w:t>
      </w:r>
      <w:r w:rsidR="004734A3" w:rsidRPr="004734A3">
        <w:rPr>
          <w:rFonts w:cstheme="minorHAnsi"/>
        </w:rPr>
        <w:t>Satisfactory Academic Progress</w:t>
      </w:r>
      <w:r w:rsidRPr="004734A3">
        <w:rPr>
          <w:rFonts w:cstheme="minorHAnsi"/>
        </w:rPr>
        <w:t xml:space="preserve"> before a</w:t>
      </w:r>
      <w:r w:rsidR="002B28E9" w:rsidRPr="004734A3">
        <w:rPr>
          <w:rFonts w:cstheme="minorHAnsi"/>
        </w:rPr>
        <w:t xml:space="preserve"> </w:t>
      </w:r>
      <w:r w:rsidRPr="004734A3">
        <w:rPr>
          <w:rFonts w:cstheme="minorHAnsi"/>
        </w:rPr>
        <w:t>second warning status may be applied.</w:t>
      </w:r>
    </w:p>
    <w:p w14:paraId="52EF26B1" w14:textId="645486E6" w:rsidR="002F6565" w:rsidRPr="002F6565" w:rsidRDefault="002F6565" w:rsidP="00D71B2C">
      <w:pPr>
        <w:rPr>
          <w:rFonts w:cstheme="minorHAnsi"/>
        </w:rPr>
      </w:pPr>
      <w:r w:rsidRPr="002F6565">
        <w:rPr>
          <w:rFonts w:cstheme="minorHAnsi"/>
        </w:rPr>
        <w:t xml:space="preserve">Students who fail to reach </w:t>
      </w:r>
      <w:proofErr w:type="gramStart"/>
      <w:r w:rsidRPr="002F6565">
        <w:rPr>
          <w:rFonts w:cstheme="minorHAnsi"/>
        </w:rPr>
        <w:t>all of</w:t>
      </w:r>
      <w:proofErr w:type="gramEnd"/>
      <w:r w:rsidRPr="002F6565">
        <w:rPr>
          <w:rFonts w:cstheme="minorHAnsi"/>
        </w:rPr>
        <w:t xml:space="preserve"> the cumulative SAP standards after a warning payment period and are</w:t>
      </w:r>
      <w:r w:rsidR="002B28E9">
        <w:rPr>
          <w:rFonts w:cstheme="minorHAnsi"/>
        </w:rPr>
        <w:t xml:space="preserve"> </w:t>
      </w:r>
      <w:r w:rsidRPr="002F6565">
        <w:rPr>
          <w:rFonts w:cstheme="minorHAnsi"/>
        </w:rPr>
        <w:t>therefore not in satisfactory academic standing are ineligible to receive further Title IV funding</w:t>
      </w:r>
      <w:r w:rsidR="00D71B2C">
        <w:rPr>
          <w:rFonts w:cstheme="minorHAnsi"/>
        </w:rPr>
        <w:t>.</w:t>
      </w:r>
    </w:p>
    <w:p w14:paraId="06042658" w14:textId="59B12081" w:rsidR="002F6565" w:rsidRPr="002F6565" w:rsidRDefault="002F6565" w:rsidP="002F6565">
      <w:pPr>
        <w:rPr>
          <w:rFonts w:cstheme="minorHAnsi"/>
          <w:b/>
          <w:bCs/>
        </w:rPr>
      </w:pPr>
      <w:r w:rsidRPr="002F6565">
        <w:rPr>
          <w:rFonts w:cstheme="minorHAnsi"/>
          <w:b/>
          <w:bCs/>
        </w:rPr>
        <w:t xml:space="preserve">Financial Aid </w:t>
      </w:r>
      <w:r w:rsidR="00AA1FEA">
        <w:rPr>
          <w:rFonts w:cstheme="minorHAnsi"/>
          <w:b/>
          <w:bCs/>
        </w:rPr>
        <w:t>Dismissal</w:t>
      </w:r>
      <w:r w:rsidRPr="002F6565">
        <w:rPr>
          <w:rFonts w:cstheme="minorHAnsi"/>
          <w:b/>
          <w:bCs/>
        </w:rPr>
        <w:t xml:space="preserve"> Status</w:t>
      </w:r>
    </w:p>
    <w:p w14:paraId="3C905952" w14:textId="77777777" w:rsidR="00CA15AC" w:rsidRPr="00DB5E1C" w:rsidRDefault="00CA15AC" w:rsidP="00CA15AC">
      <w:pPr>
        <w:rPr>
          <w:rFonts w:cstheme="minorHAnsi"/>
          <w:sz w:val="24"/>
          <w:szCs w:val="24"/>
        </w:rPr>
      </w:pPr>
      <w:r w:rsidRPr="00DB5E1C">
        <w:rPr>
          <w:rFonts w:cstheme="minorHAnsi"/>
          <w:sz w:val="24"/>
          <w:szCs w:val="24"/>
        </w:rPr>
        <w:t>Students who are not meeting cumulative SAP standards and are no</w:t>
      </w:r>
      <w:r>
        <w:rPr>
          <w:rFonts w:cstheme="minorHAnsi"/>
          <w:sz w:val="24"/>
          <w:szCs w:val="24"/>
        </w:rPr>
        <w:t xml:space="preserve"> longer</w:t>
      </w:r>
      <w:r w:rsidRPr="00DB5E1C">
        <w:rPr>
          <w:rFonts w:cstheme="minorHAnsi"/>
          <w:sz w:val="24"/>
          <w:szCs w:val="24"/>
        </w:rPr>
        <w:t xml:space="preserve"> eligible for warning status will be dismissed from the program. Students on financial aid that are dismissed are not eligible for Title IV aid.  </w:t>
      </w:r>
      <w:r w:rsidRPr="00DB5E1C">
        <w:rPr>
          <w:rFonts w:cstheme="minorHAnsi"/>
          <w:b/>
          <w:bCs/>
          <w:i/>
          <w:iCs/>
          <w:sz w:val="24"/>
          <w:szCs w:val="24"/>
        </w:rPr>
        <w:t>DAS does not offer an appeal process.</w:t>
      </w:r>
    </w:p>
    <w:p w14:paraId="5182B0E4" w14:textId="328F3FD3" w:rsidR="002F6565" w:rsidRPr="002F6565" w:rsidRDefault="002F6565" w:rsidP="00CA15AC">
      <w:pPr>
        <w:rPr>
          <w:rFonts w:cstheme="minorHAnsi"/>
        </w:rPr>
      </w:pPr>
    </w:p>
    <w:sectPr w:rsidR="002F6565" w:rsidRPr="002F656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468FA" w14:textId="77777777" w:rsidR="00393666" w:rsidRDefault="00393666" w:rsidP="00393666">
      <w:pPr>
        <w:spacing w:after="0" w:line="240" w:lineRule="auto"/>
      </w:pPr>
      <w:r>
        <w:separator/>
      </w:r>
    </w:p>
  </w:endnote>
  <w:endnote w:type="continuationSeparator" w:id="0">
    <w:p w14:paraId="3CC6D25F" w14:textId="77777777" w:rsidR="00393666" w:rsidRDefault="00393666" w:rsidP="0039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9642439"/>
      <w:docPartObj>
        <w:docPartGallery w:val="Page Numbers (Bottom of Page)"/>
        <w:docPartUnique/>
      </w:docPartObj>
    </w:sdtPr>
    <w:sdtEndPr>
      <w:rPr>
        <w:noProof/>
      </w:rPr>
    </w:sdtEndPr>
    <w:sdtContent>
      <w:p w14:paraId="7AAC9ED4" w14:textId="402A1EAE" w:rsidR="00E21D29" w:rsidRDefault="00E21D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193CA0" w14:textId="77777777" w:rsidR="00393666" w:rsidRDefault="00393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05BAA" w14:textId="77777777" w:rsidR="00393666" w:rsidRDefault="00393666" w:rsidP="00393666">
      <w:pPr>
        <w:spacing w:after="0" w:line="240" w:lineRule="auto"/>
      </w:pPr>
      <w:r>
        <w:separator/>
      </w:r>
    </w:p>
  </w:footnote>
  <w:footnote w:type="continuationSeparator" w:id="0">
    <w:p w14:paraId="59C54330" w14:textId="77777777" w:rsidR="00393666" w:rsidRDefault="00393666" w:rsidP="00393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C6E63"/>
    <w:multiLevelType w:val="hybridMultilevel"/>
    <w:tmpl w:val="02CC91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804FAD"/>
    <w:multiLevelType w:val="hybridMultilevel"/>
    <w:tmpl w:val="7234C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EDF"/>
    <w:rsid w:val="000F614C"/>
    <w:rsid w:val="001418C1"/>
    <w:rsid w:val="00175E55"/>
    <w:rsid w:val="0018543A"/>
    <w:rsid w:val="001A6C0B"/>
    <w:rsid w:val="001F6A17"/>
    <w:rsid w:val="0020396E"/>
    <w:rsid w:val="00204EB3"/>
    <w:rsid w:val="00211D48"/>
    <w:rsid w:val="00212231"/>
    <w:rsid w:val="00236B75"/>
    <w:rsid w:val="00247CB9"/>
    <w:rsid w:val="00251477"/>
    <w:rsid w:val="002659E3"/>
    <w:rsid w:val="00282E5D"/>
    <w:rsid w:val="002B28E9"/>
    <w:rsid w:val="002C1DC0"/>
    <w:rsid w:val="002F6565"/>
    <w:rsid w:val="00390AD9"/>
    <w:rsid w:val="00393666"/>
    <w:rsid w:val="003A4B85"/>
    <w:rsid w:val="003D5FA0"/>
    <w:rsid w:val="003E3746"/>
    <w:rsid w:val="004010BD"/>
    <w:rsid w:val="00420C09"/>
    <w:rsid w:val="004319F3"/>
    <w:rsid w:val="004354F8"/>
    <w:rsid w:val="004734A3"/>
    <w:rsid w:val="004B1969"/>
    <w:rsid w:val="004B632B"/>
    <w:rsid w:val="004C06E8"/>
    <w:rsid w:val="004E169A"/>
    <w:rsid w:val="005243B9"/>
    <w:rsid w:val="00557A9D"/>
    <w:rsid w:val="00590847"/>
    <w:rsid w:val="005E3243"/>
    <w:rsid w:val="005E6B66"/>
    <w:rsid w:val="0060072F"/>
    <w:rsid w:val="0060398D"/>
    <w:rsid w:val="0060696D"/>
    <w:rsid w:val="00666973"/>
    <w:rsid w:val="0068366B"/>
    <w:rsid w:val="00691256"/>
    <w:rsid w:val="006B56EA"/>
    <w:rsid w:val="006E143D"/>
    <w:rsid w:val="00732D86"/>
    <w:rsid w:val="0073701B"/>
    <w:rsid w:val="007D3783"/>
    <w:rsid w:val="00811EDF"/>
    <w:rsid w:val="0082556E"/>
    <w:rsid w:val="00835018"/>
    <w:rsid w:val="00842BCD"/>
    <w:rsid w:val="00851BEB"/>
    <w:rsid w:val="00856690"/>
    <w:rsid w:val="00883E4D"/>
    <w:rsid w:val="008B2ECA"/>
    <w:rsid w:val="008C7213"/>
    <w:rsid w:val="009377F1"/>
    <w:rsid w:val="00967D22"/>
    <w:rsid w:val="009A0FC6"/>
    <w:rsid w:val="009A4A18"/>
    <w:rsid w:val="009A6AF0"/>
    <w:rsid w:val="009D4E0F"/>
    <w:rsid w:val="009E7264"/>
    <w:rsid w:val="00A04FB7"/>
    <w:rsid w:val="00A52175"/>
    <w:rsid w:val="00AA1FEA"/>
    <w:rsid w:val="00AC4447"/>
    <w:rsid w:val="00AC7722"/>
    <w:rsid w:val="00AE1264"/>
    <w:rsid w:val="00B00690"/>
    <w:rsid w:val="00B45803"/>
    <w:rsid w:val="00B503C7"/>
    <w:rsid w:val="00BC072D"/>
    <w:rsid w:val="00BE58F5"/>
    <w:rsid w:val="00C07F73"/>
    <w:rsid w:val="00C37F36"/>
    <w:rsid w:val="00C56E7A"/>
    <w:rsid w:val="00C578D4"/>
    <w:rsid w:val="00C8376E"/>
    <w:rsid w:val="00CA15AC"/>
    <w:rsid w:val="00CA682F"/>
    <w:rsid w:val="00CB671B"/>
    <w:rsid w:val="00CB68F9"/>
    <w:rsid w:val="00CB6B01"/>
    <w:rsid w:val="00CE6ADD"/>
    <w:rsid w:val="00D67A60"/>
    <w:rsid w:val="00D71B2C"/>
    <w:rsid w:val="00D722C3"/>
    <w:rsid w:val="00DA29C5"/>
    <w:rsid w:val="00DC5A7F"/>
    <w:rsid w:val="00DD291A"/>
    <w:rsid w:val="00E21D29"/>
    <w:rsid w:val="00E640E7"/>
    <w:rsid w:val="00E650C0"/>
    <w:rsid w:val="00E70E59"/>
    <w:rsid w:val="00EA7E9C"/>
    <w:rsid w:val="00EC0396"/>
    <w:rsid w:val="00F06957"/>
    <w:rsid w:val="00F15EC0"/>
    <w:rsid w:val="00F4471C"/>
    <w:rsid w:val="00FB55E1"/>
    <w:rsid w:val="00FC4A29"/>
    <w:rsid w:val="00FD6E49"/>
    <w:rsid w:val="00FF6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199DF"/>
  <w15:chartTrackingRefBased/>
  <w15:docId w15:val="{D266CFC3-7FAD-4625-BE3A-5015121B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AF0"/>
    <w:pPr>
      <w:ind w:left="720"/>
      <w:contextualSpacing/>
    </w:pPr>
  </w:style>
  <w:style w:type="table" w:styleId="TableGrid">
    <w:name w:val="Table Grid"/>
    <w:basedOn w:val="TableNormal"/>
    <w:uiPriority w:val="39"/>
    <w:rsid w:val="009A6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3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666"/>
  </w:style>
  <w:style w:type="paragraph" w:styleId="Footer">
    <w:name w:val="footer"/>
    <w:basedOn w:val="Normal"/>
    <w:link w:val="FooterChar"/>
    <w:uiPriority w:val="99"/>
    <w:unhideWhenUsed/>
    <w:rsid w:val="00393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666"/>
  </w:style>
  <w:style w:type="paragraph" w:styleId="BalloonText">
    <w:name w:val="Balloon Text"/>
    <w:basedOn w:val="Normal"/>
    <w:link w:val="BalloonTextChar"/>
    <w:uiPriority w:val="99"/>
    <w:semiHidden/>
    <w:unhideWhenUsed/>
    <w:rsid w:val="00E21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D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3D37F24AEF63468EA6921A4E8679C0" ma:contentTypeVersion="13" ma:contentTypeDescription="Create a new document." ma:contentTypeScope="" ma:versionID="4de0ef357b9654d389f24b3ae7caed94">
  <xsd:schema xmlns:xsd="http://www.w3.org/2001/XMLSchema" xmlns:xs="http://www.w3.org/2001/XMLSchema" xmlns:p="http://schemas.microsoft.com/office/2006/metadata/properties" xmlns:ns3="42302ca3-6495-49fc-869a-8b8118a26a21" xmlns:ns4="cfee03c2-8c06-4da3-b97d-3ccf4452df78" targetNamespace="http://schemas.microsoft.com/office/2006/metadata/properties" ma:root="true" ma:fieldsID="f1892ed1d42b6a132966e8a0b66d650b" ns3:_="" ns4:_="">
    <xsd:import namespace="42302ca3-6495-49fc-869a-8b8118a26a21"/>
    <xsd:import namespace="cfee03c2-8c06-4da3-b97d-3ccf4452df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02ca3-6495-49fc-869a-8b8118a26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ee03c2-8c06-4da3-b97d-3ccf4452df7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833C3B-4971-47D6-AF33-8FBE39582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02ca3-6495-49fc-869a-8b8118a26a21"/>
    <ds:schemaRef ds:uri="cfee03c2-8c06-4da3-b97d-3ccf4452d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96D5BF-BF88-488E-B0B7-E9412CE7438A}">
  <ds:schemaRefs>
    <ds:schemaRef ds:uri="http://schemas.microsoft.com/sharepoint/v3/contenttype/forms"/>
  </ds:schemaRefs>
</ds:datastoreItem>
</file>

<file path=customXml/itemProps3.xml><?xml version="1.0" encoding="utf-8"?>
<ds:datastoreItem xmlns:ds="http://schemas.openxmlformats.org/officeDocument/2006/customXml" ds:itemID="{26EB6094-972E-4DCC-B852-51AD1FE7A9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Grafton, Cindy</dc:creator>
  <cp:keywords/>
  <dc:description/>
  <cp:lastModifiedBy>Grafton, Cindy</cp:lastModifiedBy>
  <cp:revision>67</cp:revision>
  <cp:lastPrinted>2020-09-14T22:05:00Z</cp:lastPrinted>
  <dcterms:created xsi:type="dcterms:W3CDTF">2020-09-04T18:28:00Z</dcterms:created>
  <dcterms:modified xsi:type="dcterms:W3CDTF">2020-09-15T00:25:00Z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0x010100EC3D37F24AEF63468EA6921A4E8679C0</vt:lpwstr>
  </property>
</Properties>
</file>